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177" w:firstLineChars="49"/>
        <w:jc w:val="center"/>
        <w:rPr>
          <w:b/>
          <w:color w:val="000000"/>
          <w:sz w:val="36"/>
          <w:szCs w:val="36"/>
        </w:rPr>
      </w:pPr>
    </w:p>
    <w:p>
      <w:pPr>
        <w:ind w:firstLine="177" w:firstLineChars="49"/>
        <w:jc w:val="center"/>
        <w:rPr>
          <w:b/>
          <w:color w:val="000000"/>
          <w:sz w:val="36"/>
          <w:szCs w:val="36"/>
        </w:rPr>
      </w:pPr>
    </w:p>
    <w:p>
      <w:pPr>
        <w:ind w:firstLine="177" w:firstLineChars="49"/>
        <w:jc w:val="center"/>
        <w:rPr>
          <w:b/>
          <w:color w:val="000000"/>
          <w:sz w:val="36"/>
          <w:szCs w:val="36"/>
        </w:rPr>
      </w:pPr>
    </w:p>
    <w:p>
      <w:pPr>
        <w:adjustRightInd w:val="0"/>
        <w:snapToGrid w:val="0"/>
        <w:spacing w:line="360" w:lineRule="auto"/>
        <w:jc w:val="center"/>
        <w:rPr>
          <w:rFonts w:ascii="Calibri" w:hAnsi="Calibri" w:eastAsia="仿宋_GB2312"/>
          <w:b/>
          <w:color w:val="auto"/>
          <w:sz w:val="44"/>
          <w:szCs w:val="22"/>
        </w:rPr>
      </w:pPr>
      <w:r>
        <w:rPr>
          <w:rFonts w:hint="eastAsia" w:ascii="Calibri" w:hAnsi="Calibri" w:eastAsia="仿宋_GB2312"/>
          <w:b/>
          <w:color w:val="auto"/>
          <w:sz w:val="44"/>
          <w:szCs w:val="22"/>
        </w:rPr>
        <w:t>农业行业标准</w:t>
      </w:r>
    </w:p>
    <w:p>
      <w:pPr>
        <w:adjustRightInd w:val="0"/>
        <w:snapToGrid w:val="0"/>
        <w:spacing w:line="360" w:lineRule="auto"/>
        <w:jc w:val="center"/>
        <w:rPr>
          <w:rFonts w:ascii="Calibri" w:hAnsi="Calibri" w:eastAsia="仿宋_GB2312"/>
          <w:b/>
          <w:color w:val="auto"/>
          <w:sz w:val="44"/>
          <w:szCs w:val="22"/>
        </w:rPr>
      </w:pPr>
      <w:r>
        <w:rPr>
          <w:rFonts w:hint="eastAsia" w:ascii="Calibri" w:hAnsi="Calibri" w:eastAsia="仿宋_GB2312"/>
          <w:b/>
          <w:color w:val="auto"/>
          <w:sz w:val="44"/>
          <w:szCs w:val="22"/>
        </w:rPr>
        <w:t>《挤奶及储奶设备清洗消毒技术规范》</w:t>
      </w:r>
    </w:p>
    <w:p>
      <w:pPr>
        <w:adjustRightInd w:val="0"/>
        <w:snapToGrid w:val="0"/>
        <w:spacing w:line="360" w:lineRule="auto"/>
        <w:jc w:val="center"/>
        <w:rPr>
          <w:rFonts w:ascii="Calibri" w:hAnsi="Calibri" w:eastAsia="仿宋_GB2312"/>
          <w:b/>
          <w:color w:val="auto"/>
          <w:sz w:val="44"/>
          <w:szCs w:val="22"/>
        </w:rPr>
      </w:pPr>
      <w:r>
        <w:rPr>
          <w:rFonts w:hint="eastAsia" w:ascii="Calibri" w:hAnsi="Calibri" w:eastAsia="仿宋_GB2312"/>
          <w:b/>
          <w:color w:val="auto"/>
          <w:sz w:val="44"/>
          <w:szCs w:val="22"/>
        </w:rPr>
        <w:t>（</w:t>
      </w:r>
      <w:r>
        <w:rPr>
          <w:rFonts w:hint="eastAsia" w:ascii="Calibri" w:hAnsi="Calibri" w:eastAsia="仿宋_GB2312"/>
          <w:b/>
          <w:color w:val="auto"/>
          <w:sz w:val="44"/>
          <w:szCs w:val="22"/>
          <w:lang w:val="en-US" w:eastAsia="zh-CN"/>
        </w:rPr>
        <w:t>公开征求意见</w:t>
      </w:r>
      <w:r>
        <w:rPr>
          <w:rFonts w:hint="eastAsia" w:ascii="Calibri" w:hAnsi="Calibri" w:eastAsia="仿宋_GB2312"/>
          <w:b/>
          <w:color w:val="auto"/>
          <w:sz w:val="44"/>
          <w:szCs w:val="22"/>
        </w:rPr>
        <w:t>稿）编制说明</w:t>
      </w:r>
    </w:p>
    <w:p>
      <w:pPr>
        <w:adjustRightInd w:val="0"/>
        <w:snapToGrid w:val="0"/>
        <w:spacing w:line="360" w:lineRule="auto"/>
        <w:jc w:val="center"/>
        <w:rPr>
          <w:rFonts w:ascii="Calibri" w:hAnsi="Calibri" w:eastAsia="仿宋_GB2312"/>
          <w:b/>
          <w:color w:val="000000"/>
          <w:sz w:val="44"/>
          <w:szCs w:val="22"/>
        </w:rPr>
      </w:pPr>
    </w:p>
    <w:p>
      <w:pPr>
        <w:tabs>
          <w:tab w:val="left" w:pos="4935"/>
        </w:tabs>
        <w:jc w:val="left"/>
        <w:rPr>
          <w:b/>
          <w:color w:val="000000"/>
          <w:sz w:val="32"/>
          <w:szCs w:val="32"/>
        </w:rPr>
      </w:pPr>
    </w:p>
    <w:p>
      <w:pPr>
        <w:tabs>
          <w:tab w:val="left" w:pos="4935"/>
        </w:tabs>
        <w:jc w:val="left"/>
        <w:rPr>
          <w:b/>
          <w:color w:val="000000"/>
          <w:sz w:val="32"/>
          <w:szCs w:val="32"/>
        </w:rPr>
      </w:pPr>
    </w:p>
    <w:p>
      <w:pPr>
        <w:tabs>
          <w:tab w:val="left" w:pos="4935"/>
        </w:tabs>
        <w:jc w:val="left"/>
        <w:rPr>
          <w:b/>
          <w:color w:val="000000"/>
          <w:sz w:val="32"/>
          <w:szCs w:val="32"/>
        </w:rPr>
      </w:pPr>
    </w:p>
    <w:p>
      <w:pPr>
        <w:tabs>
          <w:tab w:val="left" w:pos="4935"/>
        </w:tabs>
        <w:jc w:val="left"/>
        <w:rPr>
          <w:b/>
          <w:color w:val="000000"/>
          <w:sz w:val="32"/>
          <w:szCs w:val="32"/>
        </w:rPr>
      </w:pPr>
    </w:p>
    <w:p>
      <w:pPr>
        <w:tabs>
          <w:tab w:val="left" w:pos="4935"/>
        </w:tabs>
        <w:jc w:val="left"/>
        <w:rPr>
          <w:b/>
          <w:color w:val="000000"/>
          <w:sz w:val="32"/>
          <w:szCs w:val="32"/>
        </w:rPr>
      </w:pPr>
    </w:p>
    <w:p>
      <w:pPr>
        <w:tabs>
          <w:tab w:val="left" w:pos="4935"/>
        </w:tabs>
        <w:jc w:val="left"/>
        <w:rPr>
          <w:b/>
          <w:color w:val="000000"/>
          <w:sz w:val="32"/>
          <w:szCs w:val="32"/>
        </w:rPr>
      </w:pPr>
    </w:p>
    <w:p>
      <w:pPr>
        <w:rPr>
          <w:b/>
          <w:color w:val="000000"/>
          <w:sz w:val="32"/>
          <w:szCs w:val="32"/>
        </w:rPr>
      </w:pPr>
    </w:p>
    <w:p>
      <w:pPr>
        <w:tabs>
          <w:tab w:val="left" w:pos="5370"/>
        </w:tabs>
        <w:jc w:val="center"/>
        <w:rPr>
          <w:b/>
          <w:color w:val="000000"/>
          <w:sz w:val="32"/>
          <w:szCs w:val="32"/>
        </w:rPr>
      </w:pPr>
      <w:r>
        <w:rPr>
          <w:b/>
          <w:color w:val="000000"/>
          <w:sz w:val="32"/>
          <w:szCs w:val="32"/>
        </w:rPr>
        <w:t>上海市农产品质量安全中心</w:t>
      </w:r>
    </w:p>
    <w:p>
      <w:pPr>
        <w:jc w:val="center"/>
        <w:rPr>
          <w:color w:val="000000"/>
          <w:sz w:val="32"/>
          <w:szCs w:val="32"/>
        </w:rPr>
      </w:pPr>
      <w:r>
        <w:rPr>
          <w:b/>
          <w:color w:val="000000"/>
          <w:sz w:val="32"/>
          <w:szCs w:val="32"/>
        </w:rPr>
        <w:t>农业农村部食品质量监督检验测试中心(上海)</w:t>
      </w:r>
    </w:p>
    <w:p>
      <w:pPr>
        <w:jc w:val="center"/>
        <w:rPr>
          <w:b/>
          <w:color w:val="000000"/>
          <w:sz w:val="32"/>
          <w:szCs w:val="32"/>
        </w:rPr>
      </w:pPr>
      <w:r>
        <w:rPr>
          <w:b/>
          <w:color w:val="000000"/>
          <w:sz w:val="32"/>
          <w:szCs w:val="32"/>
        </w:rPr>
        <w:t>光明</w:t>
      </w:r>
      <w:r>
        <w:rPr>
          <w:rFonts w:hint="eastAsia"/>
          <w:b/>
          <w:color w:val="000000"/>
          <w:sz w:val="32"/>
          <w:szCs w:val="32"/>
        </w:rPr>
        <w:t>牧</w:t>
      </w:r>
      <w:r>
        <w:rPr>
          <w:b/>
          <w:color w:val="000000"/>
          <w:sz w:val="32"/>
          <w:szCs w:val="32"/>
        </w:rPr>
        <w:t>业股份有限公司</w:t>
      </w:r>
    </w:p>
    <w:p>
      <w:pPr>
        <w:jc w:val="center"/>
        <w:rPr>
          <w:color w:val="000000"/>
          <w:sz w:val="32"/>
          <w:szCs w:val="32"/>
        </w:rPr>
      </w:pPr>
      <w:r>
        <w:rPr>
          <w:rFonts w:hint="eastAsia"/>
          <w:color w:val="000000"/>
          <w:sz w:val="32"/>
          <w:szCs w:val="32"/>
        </w:rPr>
        <w:t>2022年1</w:t>
      </w:r>
      <w:r>
        <w:rPr>
          <w:rFonts w:hint="eastAsia"/>
          <w:color w:val="000000"/>
          <w:sz w:val="32"/>
          <w:szCs w:val="32"/>
          <w:lang w:val="en-US" w:eastAsia="zh-CN"/>
        </w:rPr>
        <w:t>2</w:t>
      </w:r>
      <w:r>
        <w:rPr>
          <w:rFonts w:hint="eastAsia"/>
          <w:color w:val="000000"/>
          <w:sz w:val="32"/>
          <w:szCs w:val="32"/>
        </w:rPr>
        <w:t>月</w:t>
      </w:r>
    </w:p>
    <w:p>
      <w:pPr>
        <w:spacing w:line="360" w:lineRule="auto"/>
        <w:rPr>
          <w:rFonts w:eastAsia="黑体"/>
          <w:b/>
          <w:sz w:val="28"/>
          <w:szCs w:val="40"/>
        </w:rPr>
        <w:sectPr>
          <w:footerReference r:id="rId3" w:type="default"/>
          <w:pgSz w:w="11906" w:h="16838"/>
          <w:pgMar w:top="1440" w:right="1800" w:bottom="1440" w:left="1800" w:header="851" w:footer="992" w:gutter="0"/>
          <w:cols w:space="425" w:num="1"/>
          <w:docGrid w:type="lines" w:linePitch="312" w:charSpace="0"/>
        </w:sectPr>
      </w:pPr>
    </w:p>
    <w:p>
      <w:pPr>
        <w:spacing w:line="360" w:lineRule="auto"/>
        <w:rPr>
          <w:rFonts w:eastAsia="黑体"/>
          <w:b/>
          <w:sz w:val="28"/>
          <w:szCs w:val="40"/>
        </w:rPr>
      </w:pPr>
      <w:r>
        <w:rPr>
          <w:rFonts w:eastAsia="黑体"/>
          <w:b/>
          <w:sz w:val="28"/>
          <w:szCs w:val="40"/>
        </w:rPr>
        <w:t>一、</w:t>
      </w:r>
      <w:r>
        <w:rPr>
          <w:rFonts w:hint="eastAsia" w:eastAsia="黑体"/>
          <w:b/>
          <w:sz w:val="28"/>
          <w:szCs w:val="40"/>
        </w:rPr>
        <w:t>标准制定背景及任务来源</w:t>
      </w:r>
    </w:p>
    <w:p>
      <w:pPr>
        <w:spacing w:line="360" w:lineRule="auto"/>
        <w:rPr>
          <w:rFonts w:ascii="仿宋" w:hAnsi="仿宋" w:eastAsia="仿宋" w:cs="仿宋"/>
          <w:b/>
          <w:sz w:val="24"/>
        </w:rPr>
      </w:pPr>
      <w:r>
        <w:rPr>
          <w:rFonts w:hint="eastAsia" w:ascii="仿宋" w:hAnsi="仿宋" w:eastAsia="仿宋" w:cs="仿宋"/>
          <w:b/>
          <w:sz w:val="24"/>
        </w:rPr>
        <w:t>（一）标准制定背景</w:t>
      </w:r>
    </w:p>
    <w:p>
      <w:pPr>
        <w:spacing w:line="360" w:lineRule="auto"/>
        <w:ind w:firstLine="440" w:firstLineChars="200"/>
        <w:rPr>
          <w:sz w:val="22"/>
          <w:szCs w:val="22"/>
        </w:rPr>
      </w:pPr>
      <w:r>
        <w:rPr>
          <w:rFonts w:hint="eastAsia"/>
          <w:sz w:val="22"/>
          <w:szCs w:val="22"/>
        </w:rPr>
        <w:t>食品安全关系国计民生，保障食品安全是政府和社会各方面共同的责任。我国食品安全形势不容乐观，食源性疾病和食品污染仍然是危害公众健康的重要因素。</w:t>
      </w:r>
    </w:p>
    <w:p>
      <w:pPr>
        <w:spacing w:line="360" w:lineRule="auto"/>
        <w:ind w:firstLine="440" w:firstLineChars="200"/>
        <w:rPr>
          <w:sz w:val="22"/>
          <w:szCs w:val="22"/>
        </w:rPr>
      </w:pPr>
      <w:r>
        <w:rPr>
          <w:rFonts w:hint="eastAsia"/>
          <w:sz w:val="22"/>
          <w:szCs w:val="22"/>
        </w:rPr>
        <w:t>随着社会的发展和生活方式的转变，现代人对天然食品、生鲜食品其消耗量逐渐加大。其中，乳品由于含有丰富的动物蛋白质和人体所需要的氨基酸、维生素、矿物质、钙质等多种营养成分，被称为最接近完善的食品。随着人民生活水平的提高，我国已成为世界第三大产奶国，目前城镇居民人年均乳制品消费量</w:t>
      </w:r>
      <w:r>
        <w:rPr>
          <w:sz w:val="22"/>
          <w:szCs w:val="22"/>
        </w:rPr>
        <w:t>26</w:t>
      </w:r>
      <w:r>
        <w:rPr>
          <w:rFonts w:hint="eastAsia"/>
          <w:sz w:val="22"/>
          <w:szCs w:val="22"/>
        </w:rPr>
        <w:t>千克，农村居民奶类消费量也有较大幅度增长。但乳品由于从采集到成品加工的生产、销售过程中，生物污染物和化学污染物都会影响产品的卫生状况，污染变质的乳制品对人的健康危害较大，乳品质量安全问题已成为政府和社会关注的重中之重。</w:t>
      </w:r>
    </w:p>
    <w:p>
      <w:pPr>
        <w:adjustRightInd w:val="0"/>
        <w:spacing w:line="360" w:lineRule="auto"/>
        <w:ind w:firstLine="440" w:firstLineChars="200"/>
        <w:rPr>
          <w:sz w:val="22"/>
          <w:szCs w:val="22"/>
        </w:rPr>
      </w:pPr>
      <w:r>
        <w:rPr>
          <w:rFonts w:hint="eastAsia"/>
          <w:sz w:val="22"/>
          <w:szCs w:val="22"/>
        </w:rPr>
        <w:t>生鲜乳生产环节质量控制与乳品质量安全紧密相关。</w:t>
      </w:r>
      <w:r>
        <w:rPr>
          <w:sz w:val="22"/>
          <w:szCs w:val="22"/>
        </w:rPr>
        <w:t>HACCP</w:t>
      </w:r>
      <w:r>
        <w:rPr>
          <w:rFonts w:hint="eastAsia"/>
          <w:sz w:val="22"/>
          <w:szCs w:val="22"/>
        </w:rPr>
        <w:t>（</w:t>
      </w:r>
      <w:r>
        <w:rPr>
          <w:sz w:val="22"/>
          <w:szCs w:val="22"/>
        </w:rPr>
        <w:t>Hazard Analysis and Critical Control Point</w:t>
      </w:r>
      <w:r>
        <w:rPr>
          <w:rFonts w:hint="eastAsia"/>
          <w:sz w:val="22"/>
          <w:szCs w:val="22"/>
        </w:rPr>
        <w:t>）危害分析的临界控制点，通过对生乳生产过程中潜在危害的控制，更好地向消费者提供安全乳品，降低生乳生产过程中的化学危害，从而提高人民的健康水平。规范生鲜乳生产，推进标准化规模养殖，提高生鲜乳质量安全水平，我国相应出台了《乳品质量安全监督管理条例》，为严格实施《乳品质量安全监督管理条例》，规范生鲜乳生产过程中环境控制，饲料与饲养管理，挤奶操作，贮存与运输，疫病防治等技术环节，还制定《生鲜乳生产技术规程（试行）》。该规程以《生鲜牛乳质量管理规范》（</w:t>
      </w:r>
      <w:r>
        <w:rPr>
          <w:sz w:val="22"/>
          <w:szCs w:val="22"/>
        </w:rPr>
        <w:t>NY/T 1172-2006</w:t>
      </w:r>
      <w:r>
        <w:rPr>
          <w:rFonts w:hint="eastAsia"/>
          <w:sz w:val="22"/>
          <w:szCs w:val="22"/>
        </w:rPr>
        <w:t>）、《奶牛饲养标准》（</w:t>
      </w:r>
      <w:r>
        <w:rPr>
          <w:sz w:val="22"/>
          <w:szCs w:val="22"/>
        </w:rPr>
        <w:t>NY/T 34-2004</w:t>
      </w:r>
      <w:r>
        <w:rPr>
          <w:rFonts w:hint="eastAsia"/>
          <w:sz w:val="22"/>
          <w:szCs w:val="22"/>
        </w:rPr>
        <w:t>）、《奶牛标准化规模养殖生产技术规范（试行）》等标准为基础，重点对生鲜牛乳生产技术加以规范。</w:t>
      </w:r>
    </w:p>
    <w:p>
      <w:pPr>
        <w:autoSpaceDE w:val="0"/>
        <w:autoSpaceDN w:val="0"/>
        <w:adjustRightInd w:val="0"/>
        <w:spacing w:line="360" w:lineRule="auto"/>
        <w:ind w:firstLine="480"/>
        <w:jc w:val="left"/>
        <w:rPr>
          <w:sz w:val="22"/>
          <w:szCs w:val="22"/>
        </w:rPr>
      </w:pPr>
      <w:r>
        <w:rPr>
          <w:rFonts w:hint="eastAsia"/>
          <w:sz w:val="22"/>
          <w:szCs w:val="22"/>
        </w:rPr>
        <w:t>乳制品生产过程中，牧场贮奶和挤奶设备的清洗消毒状况与终产品的质量密切相关，清洗消毒不彻底会影响到产品的品质，进而可能导致食品安全事件的发生，所以乳制品生产设备的清洗消毒至关重要。目前我国在奶牛场环境、繁育、饲养管理、保健、防疫卫生、挤奶操作和挤奶系统的清洗与杀菌等均有相应的规范、标准，但贮奶设备清洗消毒、杀菌维持与监控尚未技术规范，造成影响生奶质量提高的空白点，因此迫切需要制定我国牧场贮奶设备清洗消毒技术规范，这对确保生奶卫生、安全，提高牛奶质量有着极其重要的作用。</w:t>
      </w:r>
    </w:p>
    <w:p>
      <w:pPr>
        <w:spacing w:line="360" w:lineRule="auto"/>
        <w:rPr>
          <w:rFonts w:ascii="仿宋" w:hAnsi="仿宋" w:eastAsia="仿宋" w:cs="仿宋"/>
          <w:b/>
          <w:sz w:val="24"/>
        </w:rPr>
      </w:pPr>
      <w:r>
        <w:rPr>
          <w:rFonts w:hint="eastAsia" w:ascii="仿宋" w:hAnsi="仿宋" w:eastAsia="仿宋" w:cs="仿宋"/>
          <w:b/>
          <w:sz w:val="24"/>
        </w:rPr>
        <w:t>（二）任务来源</w:t>
      </w:r>
    </w:p>
    <w:p>
      <w:pPr>
        <w:autoSpaceDE w:val="0"/>
        <w:autoSpaceDN w:val="0"/>
        <w:adjustRightInd w:val="0"/>
        <w:spacing w:line="360" w:lineRule="auto"/>
        <w:ind w:firstLine="480"/>
        <w:rPr>
          <w:color w:val="000000" w:themeColor="text1"/>
          <w:sz w:val="22"/>
          <w:szCs w:val="22"/>
          <w:highlight w:val="yellow"/>
          <w14:textFill>
            <w14:solidFill>
              <w14:schemeClr w14:val="tx1"/>
            </w14:solidFill>
          </w14:textFill>
        </w:rPr>
      </w:pPr>
      <w:r>
        <w:rPr>
          <w:rFonts w:hint="eastAsia"/>
          <w:sz w:val="22"/>
          <w:szCs w:val="22"/>
        </w:rPr>
        <w:t>根据农业部文件农财发【2011】53号《农业部关于下达2011年农业行业标准制定和修订项目资金的通知》的精神及要求，农业部食品质量监督检验测试中心（上海）对《牧场挤奶及</w:t>
      </w:r>
      <w:r>
        <w:rPr>
          <w:rFonts w:hint="eastAsia"/>
          <w:sz w:val="22"/>
          <w:szCs w:val="22"/>
          <w:lang w:val="en-US" w:eastAsia="zh-CN"/>
        </w:rPr>
        <w:t>储</w:t>
      </w:r>
      <w:r>
        <w:rPr>
          <w:rFonts w:hint="eastAsia"/>
          <w:sz w:val="22"/>
          <w:szCs w:val="22"/>
        </w:rPr>
        <w:t>奶设备清洗消毒</w:t>
      </w:r>
      <w:r>
        <w:rPr>
          <w:rFonts w:hint="eastAsia"/>
          <w:sz w:val="22"/>
          <w:szCs w:val="22"/>
          <w:lang w:val="en-US" w:eastAsia="zh-CN"/>
        </w:rPr>
        <w:t>技术</w:t>
      </w:r>
      <w:r>
        <w:rPr>
          <w:rFonts w:hint="eastAsia"/>
          <w:sz w:val="22"/>
          <w:szCs w:val="22"/>
        </w:rPr>
        <w:t>规范》填报了标准制定项目任务书，叙述了制定本文件的计划、内容、实施步骤等事宜，在得到农业部市场与经济信息司的确认和批准后进入实施阶段，项目计划编号：（</w:t>
      </w:r>
      <w:r>
        <w:rPr>
          <w:rFonts w:hint="eastAsia"/>
          <w:sz w:val="22"/>
          <w:szCs w:val="22"/>
          <w:lang w:val="en-US" w:eastAsia="zh-CN"/>
        </w:rPr>
        <w:t>201199，LX14324</w:t>
      </w:r>
      <w:r>
        <w:rPr>
          <w:rFonts w:hint="eastAsia"/>
          <w:sz w:val="22"/>
          <w:szCs w:val="22"/>
        </w:rPr>
        <w:t>）。本文件由农业农村部畜牧兽医局（SAC/TC274）提出，由全国畜牧业标准化技术委员会（SAC/TC274）归口</w:t>
      </w:r>
      <w:r>
        <w:rPr>
          <w:rFonts w:hint="eastAsia"/>
          <w:sz w:val="22"/>
          <w:szCs w:val="22"/>
          <w:lang w:eastAsia="zh-CN"/>
        </w:rPr>
        <w:t>。</w:t>
      </w:r>
      <w:r>
        <w:rPr>
          <w:rFonts w:hint="eastAsia"/>
          <w:sz w:val="22"/>
          <w:szCs w:val="22"/>
        </w:rPr>
        <w:t>本文件由农业农村部食品质量监督检验测试中心（上海）</w:t>
      </w:r>
      <w:r>
        <w:rPr>
          <w:rFonts w:hint="eastAsia"/>
          <w:sz w:val="22"/>
          <w:szCs w:val="22"/>
          <w:lang w:eastAsia="zh-CN"/>
        </w:rPr>
        <w:t>、</w:t>
      </w:r>
      <w:r>
        <w:rPr>
          <w:rFonts w:hint="eastAsia"/>
          <w:sz w:val="22"/>
          <w:szCs w:val="22"/>
        </w:rPr>
        <w:t>上海市农产品质量安全中心和光明乳业股份有限公司牵头共同起草编写，首席专家为张维谊。</w:t>
      </w:r>
    </w:p>
    <w:p>
      <w:pPr>
        <w:numPr>
          <w:ilvl w:val="0"/>
          <w:numId w:val="2"/>
        </w:numPr>
        <w:spacing w:line="360" w:lineRule="auto"/>
        <w:rPr>
          <w:rFonts w:eastAsia="黑体"/>
          <w:b/>
          <w:sz w:val="28"/>
          <w:szCs w:val="40"/>
        </w:rPr>
      </w:pPr>
      <w:r>
        <w:rPr>
          <w:rFonts w:hint="eastAsia" w:eastAsia="黑体"/>
          <w:b/>
          <w:sz w:val="28"/>
          <w:szCs w:val="40"/>
        </w:rPr>
        <w:t>主要工作过程</w:t>
      </w:r>
    </w:p>
    <w:p>
      <w:pPr>
        <w:spacing w:line="360" w:lineRule="auto"/>
        <w:ind w:left="479" w:leftChars="228" w:firstLine="59" w:firstLineChars="27"/>
        <w:jc w:val="left"/>
        <w:outlineLvl w:val="0"/>
        <w:rPr>
          <w:sz w:val="22"/>
          <w:szCs w:val="22"/>
        </w:rPr>
      </w:pPr>
      <w:r>
        <w:rPr>
          <w:rFonts w:hint="eastAsia"/>
          <w:sz w:val="22"/>
          <w:szCs w:val="22"/>
        </w:rPr>
        <w:t>编制工作从</w:t>
      </w:r>
      <w:r>
        <w:rPr>
          <w:sz w:val="22"/>
          <w:szCs w:val="22"/>
        </w:rPr>
        <w:t>2011</w:t>
      </w:r>
      <w:r>
        <w:rPr>
          <w:rFonts w:hint="eastAsia"/>
          <w:sz w:val="22"/>
          <w:szCs w:val="22"/>
        </w:rPr>
        <w:t>年</w:t>
      </w:r>
      <w:r>
        <w:rPr>
          <w:sz w:val="22"/>
          <w:szCs w:val="22"/>
        </w:rPr>
        <w:t>5</w:t>
      </w:r>
      <w:r>
        <w:rPr>
          <w:rFonts w:hint="eastAsia"/>
          <w:sz w:val="22"/>
          <w:szCs w:val="22"/>
        </w:rPr>
        <w:t>月开始。任务下达后，标准制定小组进行讨论，制定了工作</w:t>
      </w:r>
    </w:p>
    <w:p>
      <w:pPr>
        <w:spacing w:line="360" w:lineRule="auto"/>
        <w:jc w:val="left"/>
        <w:outlineLvl w:val="0"/>
        <w:rPr>
          <w:sz w:val="22"/>
          <w:szCs w:val="22"/>
        </w:rPr>
      </w:pPr>
      <w:r>
        <w:rPr>
          <w:rFonts w:hint="eastAsia"/>
          <w:sz w:val="22"/>
          <w:szCs w:val="22"/>
        </w:rPr>
        <w:t>计划。标准制定工作分以下七个阶段进行：</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第一阶段：标准起草工作组成立</w:t>
      </w:r>
    </w:p>
    <w:p>
      <w:pPr>
        <w:spacing w:line="360" w:lineRule="auto"/>
        <w:ind w:firstLine="440" w:firstLineChars="200"/>
        <w:outlineLvl w:val="9"/>
        <w:rPr>
          <w:rFonts w:hint="eastAsia"/>
          <w:color w:val="auto"/>
          <w:sz w:val="22"/>
          <w:szCs w:val="22"/>
        </w:rPr>
      </w:pPr>
      <w:r>
        <w:rPr>
          <w:rFonts w:hint="eastAsia"/>
          <w:sz w:val="22"/>
          <w:szCs w:val="22"/>
        </w:rPr>
        <w:t>在接到标准制定任务后，成立了标准起草工作组，并制定了详细的实施方案。标准编制工作组包括上海市农产品质量安全中心、农业农村部食品质量监督检验测试中心（上海）张维谊、韩奕奕、丰东升、马颖清、王霞、朱春燕、邓波、陈美莲、刘洋、杨晓君、陈柔含、王敏、杨静、周彬、童金蓉、高猛峰、沈斯文；光明乳业股份有限公司张</w:t>
      </w:r>
      <w:r>
        <w:rPr>
          <w:rFonts w:hint="eastAsia"/>
          <w:color w:val="auto"/>
          <w:sz w:val="22"/>
          <w:szCs w:val="22"/>
        </w:rPr>
        <w:t>锋华、苏衍菁</w:t>
      </w:r>
      <w:r>
        <w:rPr>
          <w:rFonts w:hint="eastAsia"/>
          <w:color w:val="auto"/>
          <w:sz w:val="22"/>
          <w:szCs w:val="22"/>
          <w:lang w:eastAsia="zh-CN"/>
        </w:rPr>
        <w:t>、</w:t>
      </w:r>
      <w:r>
        <w:rPr>
          <w:rFonts w:hint="eastAsia" w:hAnsi="Times New Roman"/>
          <w:color w:val="auto"/>
          <w:sz w:val="22"/>
          <w:szCs w:val="22"/>
          <w:lang w:val="en-US" w:eastAsia="zh-CN"/>
        </w:rPr>
        <w:t>张幸开</w:t>
      </w:r>
      <w:r>
        <w:rPr>
          <w:rFonts w:hint="eastAsia"/>
          <w:color w:val="auto"/>
          <w:sz w:val="22"/>
          <w:szCs w:val="22"/>
        </w:rPr>
        <w:t>等。</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第二阶段：前期预研及调研分析</w:t>
      </w:r>
    </w:p>
    <w:p>
      <w:pPr>
        <w:numPr>
          <w:ilvl w:val="255"/>
          <w:numId w:val="0"/>
        </w:numPr>
        <w:spacing w:line="360" w:lineRule="auto"/>
        <w:ind w:firstLine="440" w:firstLineChars="200"/>
        <w:jc w:val="left"/>
        <w:rPr>
          <w:sz w:val="22"/>
          <w:szCs w:val="22"/>
        </w:rPr>
      </w:pPr>
      <w:r>
        <w:rPr>
          <w:rFonts w:hint="eastAsia"/>
          <w:sz w:val="22"/>
          <w:szCs w:val="22"/>
        </w:rPr>
        <w:t>本标准起草组通过查询相关国内外标准和文献的检索，确定初步方案：收集到相关的标准和文献如下：</w:t>
      </w:r>
    </w:p>
    <w:p>
      <w:pPr>
        <w:spacing w:line="360" w:lineRule="auto"/>
        <w:ind w:firstLine="440" w:firstLineChars="200"/>
        <w:rPr>
          <w:sz w:val="22"/>
          <w:szCs w:val="22"/>
        </w:rPr>
      </w:pPr>
      <w:r>
        <w:rPr>
          <w:sz w:val="22"/>
          <w:szCs w:val="22"/>
        </w:rPr>
        <w:t>GB</w:t>
      </w:r>
      <w:r>
        <w:rPr>
          <w:rFonts w:hint="eastAsia"/>
          <w:sz w:val="22"/>
          <w:szCs w:val="22"/>
        </w:rPr>
        <w:t xml:space="preserve"> </w:t>
      </w:r>
      <w:r>
        <w:rPr>
          <w:sz w:val="22"/>
          <w:szCs w:val="22"/>
        </w:rPr>
        <w:t>4789.2</w:t>
      </w:r>
      <w:r>
        <w:rPr>
          <w:rFonts w:hint="eastAsia"/>
          <w:sz w:val="22"/>
          <w:szCs w:val="22"/>
        </w:rPr>
        <w:t>《食品安全国家标准 食品微生物学检验 菌落总数测定》、</w:t>
      </w:r>
      <w:r>
        <w:rPr>
          <w:sz w:val="22"/>
          <w:szCs w:val="22"/>
        </w:rPr>
        <w:t>GB 4806.9</w:t>
      </w:r>
      <w:r>
        <w:rPr>
          <w:rFonts w:hint="eastAsia"/>
          <w:sz w:val="22"/>
          <w:szCs w:val="22"/>
        </w:rPr>
        <w:t>《食品安全国家标准</w:t>
      </w:r>
      <w:r>
        <w:rPr>
          <w:sz w:val="22"/>
          <w:szCs w:val="22"/>
        </w:rPr>
        <w:t xml:space="preserve"> </w:t>
      </w:r>
      <w:r>
        <w:rPr>
          <w:rFonts w:hint="eastAsia"/>
          <w:sz w:val="22"/>
          <w:szCs w:val="22"/>
        </w:rPr>
        <w:t xml:space="preserve">食品接触用金属材料及制品》、 </w:t>
      </w:r>
      <w:r>
        <w:rPr>
          <w:sz w:val="22"/>
          <w:szCs w:val="22"/>
        </w:rPr>
        <w:t>GB 5749</w:t>
      </w:r>
      <w:r>
        <w:rPr>
          <w:rFonts w:hint="eastAsia"/>
          <w:sz w:val="22"/>
          <w:szCs w:val="22"/>
        </w:rPr>
        <w:t>《生活饮用水卫生标准》、 GB14930.1《食品安全国家标准 洗涤剂》、GB 14930.2《食品安全国家标准 消毒剂》、</w:t>
      </w:r>
      <w:r>
        <w:rPr>
          <w:sz w:val="22"/>
          <w:szCs w:val="22"/>
        </w:rPr>
        <w:t>GB 19301</w:t>
      </w:r>
      <w:r>
        <w:rPr>
          <w:rFonts w:hint="eastAsia"/>
          <w:sz w:val="22"/>
          <w:szCs w:val="22"/>
        </w:rPr>
        <w:t>《食品安全国家标准</w:t>
      </w:r>
      <w:r>
        <w:rPr>
          <w:sz w:val="22"/>
          <w:szCs w:val="22"/>
        </w:rPr>
        <w:t xml:space="preserve"> </w:t>
      </w:r>
      <w:r>
        <w:rPr>
          <w:rFonts w:hint="eastAsia"/>
          <w:sz w:val="22"/>
          <w:szCs w:val="22"/>
        </w:rPr>
        <w:t>生乳》、</w:t>
      </w:r>
      <w:r>
        <w:rPr>
          <w:sz w:val="22"/>
          <w:szCs w:val="22"/>
        </w:rPr>
        <w:t>GB 14881-2013</w:t>
      </w:r>
      <w:r>
        <w:rPr>
          <w:rFonts w:hint="eastAsia"/>
          <w:sz w:val="22"/>
          <w:szCs w:val="22"/>
        </w:rPr>
        <w:t>《食品安全国家标准</w:t>
      </w:r>
      <w:r>
        <w:rPr>
          <w:sz w:val="22"/>
          <w:szCs w:val="22"/>
        </w:rPr>
        <w:t xml:space="preserve"> </w:t>
      </w:r>
      <w:r>
        <w:rPr>
          <w:rFonts w:hint="eastAsia"/>
          <w:sz w:val="22"/>
          <w:szCs w:val="22"/>
        </w:rPr>
        <w:t>食品生产通用卫生规范》、 G</w:t>
      </w:r>
      <w:r>
        <w:rPr>
          <w:sz w:val="22"/>
          <w:szCs w:val="22"/>
        </w:rPr>
        <w:t>B/T 36004</w:t>
      </w:r>
      <w:r>
        <w:rPr>
          <w:rFonts w:hint="eastAsia"/>
          <w:sz w:val="22"/>
          <w:szCs w:val="22"/>
        </w:rPr>
        <w:t>《食品接触表面清洗消毒效果试验方法 三磷酸腺苷生物发光法》、GB/T 5981-2011《挤奶设备 词汇》、</w:t>
      </w:r>
      <w:r>
        <w:rPr>
          <w:rFonts w:hint="eastAsia" w:cs="宋体"/>
          <w:kern w:val="0"/>
          <w:sz w:val="22"/>
          <w:szCs w:val="22"/>
        </w:rPr>
        <w:t>GB/T 13879-2015《贮奶罐》、GB/T 10942-2017《散装乳冷藏罐》、GB/T 8186《挤奶设备 结构与性能》、GB 38850-2020《消毒剂原料清单及禁限用物质》、</w:t>
      </w:r>
      <w:r>
        <w:rPr>
          <w:rFonts w:hint="eastAsia"/>
          <w:sz w:val="22"/>
          <w:szCs w:val="22"/>
        </w:rPr>
        <w:t>《生鲜乳生产技术规程（试行）》、</w:t>
      </w:r>
      <w:r>
        <w:rPr>
          <w:sz w:val="22"/>
          <w:szCs w:val="22"/>
        </w:rPr>
        <w:t>NY/T 1172-2006</w:t>
      </w:r>
      <w:r>
        <w:rPr>
          <w:rFonts w:hint="eastAsia"/>
          <w:sz w:val="22"/>
          <w:szCs w:val="22"/>
        </w:rPr>
        <w:t>《生鲜牛乳质量管理规范》、</w:t>
      </w:r>
      <w:r>
        <w:rPr>
          <w:sz w:val="22"/>
          <w:szCs w:val="22"/>
        </w:rPr>
        <w:t>NY/T 34-2004</w:t>
      </w:r>
      <w:r>
        <w:rPr>
          <w:rFonts w:hint="eastAsia"/>
          <w:sz w:val="22"/>
          <w:szCs w:val="22"/>
        </w:rPr>
        <w:t>《奶牛饲养标准》、《奶牛标准化规模养殖生产技术规范（试行）》、《奶牛生产技术规范及技术要点丛书</w:t>
      </w:r>
      <w:r>
        <w:rPr>
          <w:sz w:val="22"/>
          <w:szCs w:val="22"/>
        </w:rPr>
        <w:t>—</w:t>
      </w:r>
      <w:r>
        <w:rPr>
          <w:rFonts w:hint="eastAsia"/>
          <w:sz w:val="22"/>
          <w:szCs w:val="22"/>
        </w:rPr>
        <w:t>保健规范》</w:t>
      </w:r>
      <w:r>
        <w:rPr>
          <w:sz w:val="22"/>
          <w:szCs w:val="22"/>
        </w:rPr>
        <w:t xml:space="preserve"> 2002</w:t>
      </w:r>
      <w:r>
        <w:rPr>
          <w:rFonts w:hint="eastAsia"/>
          <w:sz w:val="22"/>
          <w:szCs w:val="22"/>
        </w:rPr>
        <w:t>年</w:t>
      </w:r>
      <w:r>
        <w:rPr>
          <w:sz w:val="22"/>
          <w:szCs w:val="22"/>
        </w:rPr>
        <w:t>11</w:t>
      </w:r>
      <w:r>
        <w:rPr>
          <w:rFonts w:hint="eastAsia"/>
          <w:sz w:val="22"/>
          <w:szCs w:val="22"/>
        </w:rPr>
        <w:t>月荷斯坦专家团，保健组、美国《Grade“A”Pasteurized milk ordinance》（美国优质乳条例2013版）、 CAC/RCP 57-2004《Code of hygienic practice for milk and milk products》（牛奶和奶制品卫生操作规范）、卫生部《食品用消毒剂原料（成分）名单（2009版）》、卫生部《食品用洗涤剂原料（成分）名单（2009版）》等。</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第三阶段：标准起草</w:t>
      </w:r>
    </w:p>
    <w:p>
      <w:pPr>
        <w:pStyle w:val="16"/>
        <w:spacing w:line="360" w:lineRule="auto"/>
        <w:ind w:firstLine="440"/>
        <w:rPr>
          <w:rFonts w:ascii="Times New Roman"/>
          <w:kern w:val="2"/>
          <w:sz w:val="22"/>
          <w:szCs w:val="22"/>
        </w:rPr>
      </w:pPr>
      <w:r>
        <w:rPr>
          <w:rFonts w:ascii="Times New Roman"/>
          <w:sz w:val="22"/>
          <w:szCs w:val="18"/>
        </w:rPr>
        <w:t>2011年5月，本标准起草组</w:t>
      </w:r>
      <w:r>
        <w:rPr>
          <w:rFonts w:ascii="Times New Roman"/>
          <w:kern w:val="2"/>
          <w:sz w:val="22"/>
          <w:szCs w:val="22"/>
        </w:rPr>
        <w:t>综合相关标准和文献，拟定了初步实验方案，确定了</w:t>
      </w:r>
      <w:r>
        <w:rPr>
          <w:rFonts w:hint="eastAsia" w:ascii="Times New Roman"/>
          <w:kern w:val="2"/>
          <w:sz w:val="22"/>
          <w:szCs w:val="22"/>
        </w:rPr>
        <w:t>储</w:t>
      </w:r>
      <w:r>
        <w:rPr>
          <w:rFonts w:ascii="Times New Roman"/>
          <w:kern w:val="2"/>
          <w:sz w:val="22"/>
          <w:szCs w:val="22"/>
        </w:rPr>
        <w:t>奶设备要求</w:t>
      </w:r>
      <w:r>
        <w:rPr>
          <w:rFonts w:hint="eastAsia" w:ascii="Times New Roman"/>
          <w:kern w:val="2"/>
          <w:sz w:val="22"/>
          <w:szCs w:val="22"/>
        </w:rPr>
        <w:t>、</w:t>
      </w:r>
      <w:r>
        <w:rPr>
          <w:rFonts w:ascii="Times New Roman"/>
          <w:kern w:val="2"/>
          <w:sz w:val="22"/>
          <w:szCs w:val="22"/>
        </w:rPr>
        <w:t>消毒剂要求</w:t>
      </w:r>
      <w:r>
        <w:rPr>
          <w:rFonts w:hint="eastAsia" w:ascii="Times New Roman"/>
          <w:kern w:val="2"/>
          <w:sz w:val="22"/>
          <w:szCs w:val="22"/>
        </w:rPr>
        <w:t>、</w:t>
      </w:r>
      <w:r>
        <w:rPr>
          <w:rFonts w:ascii="Times New Roman"/>
          <w:kern w:val="2"/>
          <w:sz w:val="22"/>
          <w:szCs w:val="22"/>
        </w:rPr>
        <w:t>挤奶及</w:t>
      </w:r>
      <w:r>
        <w:rPr>
          <w:rFonts w:hint="eastAsia" w:ascii="Times New Roman"/>
          <w:kern w:val="2"/>
          <w:sz w:val="22"/>
          <w:szCs w:val="22"/>
        </w:rPr>
        <w:t>储</w:t>
      </w:r>
      <w:r>
        <w:rPr>
          <w:rFonts w:ascii="Times New Roman"/>
          <w:kern w:val="2"/>
          <w:sz w:val="22"/>
          <w:szCs w:val="22"/>
        </w:rPr>
        <w:t>奶设备的清洗和消毒程序及其他注意事项等，</w:t>
      </w:r>
      <w:r>
        <w:rPr>
          <w:rFonts w:hint="eastAsia" w:ascii="Times New Roman"/>
          <w:kern w:val="2"/>
          <w:sz w:val="22"/>
          <w:szCs w:val="22"/>
        </w:rPr>
        <w:t>并</w:t>
      </w:r>
      <w:r>
        <w:rPr>
          <w:rFonts w:ascii="Times New Roman"/>
          <w:kern w:val="2"/>
          <w:sz w:val="22"/>
          <w:szCs w:val="22"/>
        </w:rPr>
        <w:t>起草相关标准文本。在本标准规范中最重要的几点是研究考虑了设备的材质及安装，清洗的程序及管理要求，清洗效果的验证。按照GB/T 1.1-2009 《标准化工作导则 第1部分：标准的结构和编写》起草编写标准文本内容和编制说明内容。标准文本主要内容包括：（1）封面；（2）前言；（3）标准主体内容：范围、规范性引用文件、术语和定义、要求、清洗消毒程序、清洗消毒操作、清洗消毒流程、清洗消毒效果验证、附录A涂抹法采样及检测、附录B清洗消毒效果评价。</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第四阶段：第一次定向征求意见，形成预审稿并预审</w:t>
      </w:r>
    </w:p>
    <w:p>
      <w:pPr>
        <w:spacing w:line="360" w:lineRule="auto"/>
        <w:ind w:firstLine="440" w:firstLineChars="200"/>
        <w:outlineLvl w:val="0"/>
        <w:rPr>
          <w:sz w:val="22"/>
          <w:szCs w:val="22"/>
        </w:rPr>
      </w:pPr>
      <w:r>
        <w:rPr>
          <w:sz w:val="22"/>
          <w:szCs w:val="22"/>
        </w:rPr>
        <w:t>2011年8月下旬</w:t>
      </w:r>
      <w:r>
        <w:rPr>
          <w:rFonts w:hint="eastAsia"/>
          <w:sz w:val="22"/>
          <w:szCs w:val="22"/>
        </w:rPr>
        <w:t>标准起草组</w:t>
      </w:r>
      <w:r>
        <w:rPr>
          <w:sz w:val="22"/>
          <w:szCs w:val="22"/>
        </w:rPr>
        <w:t>完成了</w:t>
      </w:r>
      <w:r>
        <w:rPr>
          <w:rFonts w:hint="eastAsia"/>
          <w:sz w:val="22"/>
          <w:szCs w:val="22"/>
        </w:rPr>
        <w:t>定向</w:t>
      </w:r>
      <w:r>
        <w:rPr>
          <w:sz w:val="22"/>
          <w:szCs w:val="22"/>
        </w:rPr>
        <w:t>征求意见稿，发出意见征求稿30份，征求质检机构、科研院校、乳企、牧场、政府部门等各方意见。</w:t>
      </w:r>
    </w:p>
    <w:p>
      <w:pPr>
        <w:pStyle w:val="16"/>
        <w:spacing w:line="360" w:lineRule="auto"/>
        <w:ind w:firstLine="440"/>
        <w:rPr>
          <w:rFonts w:ascii="Times New Roman"/>
          <w:sz w:val="22"/>
          <w:szCs w:val="18"/>
        </w:rPr>
      </w:pPr>
      <w:r>
        <w:rPr>
          <w:rFonts w:hint="eastAsia" w:ascii="Times New Roman"/>
          <w:sz w:val="22"/>
          <w:szCs w:val="18"/>
        </w:rPr>
        <w:t>标准起草组根据定向征求意见结果，对标准文本及编制说明进行修改，形成了标准文本及编制说明的预审稿。</w:t>
      </w:r>
      <w:r>
        <w:rPr>
          <w:rFonts w:ascii="Times New Roman"/>
          <w:sz w:val="22"/>
          <w:szCs w:val="18"/>
        </w:rPr>
        <w:t>2012年5月22日，起草组在上海组织生产、科研、教学、检验等领域的有关专家，对本中心负责制定的标准送审稿进行了预审，专家主要就标准文本的书写格式，术语名词和相关标准的规范性引用以及清洗消毒过程中水量、流速、酸碱清洗剂pH控制等技术点的参数控制提出了相关修改意见与建议，例如专家建议水洗需主要控制水量和流速，流速不易过小或者过大，过小会导致冲刷力不足，过大会导致水流进入奶水分离器；建议清洗消毒过程中酸洗时要确保pH在2.5～3.5之间，酸性过低不利于去除难溶物质，酸性过高会腐蚀挤奶管道等。</w:t>
      </w:r>
    </w:p>
    <w:p>
      <w:pPr>
        <w:pStyle w:val="16"/>
        <w:spacing w:line="360" w:lineRule="auto"/>
        <w:ind w:firstLine="440"/>
        <w:rPr>
          <w:rFonts w:ascii="Times New Roman"/>
          <w:sz w:val="22"/>
          <w:szCs w:val="18"/>
        </w:rPr>
      </w:pPr>
      <w:r>
        <w:rPr>
          <w:rFonts w:hint="eastAsia" w:ascii="Times New Roman"/>
          <w:sz w:val="22"/>
          <w:szCs w:val="18"/>
        </w:rPr>
        <w:t>标准起草组</w:t>
      </w:r>
      <w:r>
        <w:rPr>
          <w:rFonts w:ascii="Times New Roman"/>
          <w:sz w:val="22"/>
          <w:szCs w:val="18"/>
        </w:rPr>
        <w:t>根据预审专家组意见进一步修改完善</w:t>
      </w:r>
      <w:r>
        <w:rPr>
          <w:rFonts w:hint="eastAsia" w:ascii="Times New Roman"/>
          <w:sz w:val="22"/>
          <w:szCs w:val="18"/>
        </w:rPr>
        <w:t>，形成</w:t>
      </w:r>
      <w:r>
        <w:rPr>
          <w:rFonts w:ascii="Times New Roman"/>
          <w:sz w:val="22"/>
          <w:szCs w:val="18"/>
        </w:rPr>
        <w:t>标准</w:t>
      </w:r>
      <w:r>
        <w:rPr>
          <w:rFonts w:hint="eastAsia" w:ascii="Times New Roman"/>
          <w:sz w:val="22"/>
          <w:szCs w:val="18"/>
        </w:rPr>
        <w:t>文本及编制说明的</w:t>
      </w:r>
      <w:r>
        <w:rPr>
          <w:rFonts w:ascii="Times New Roman"/>
          <w:sz w:val="22"/>
          <w:szCs w:val="18"/>
        </w:rPr>
        <w:t>送审稿，并将送审稿等文本提交全国畜牧标准化技术委员审核。</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第五阶段：标准制定工作中断</w:t>
      </w:r>
    </w:p>
    <w:p>
      <w:pPr>
        <w:spacing w:line="360" w:lineRule="auto"/>
        <w:ind w:firstLine="561"/>
        <w:rPr>
          <w:b/>
          <w:bCs/>
          <w:color w:val="auto"/>
          <w:sz w:val="22"/>
          <w:szCs w:val="22"/>
        </w:rPr>
      </w:pPr>
      <w:r>
        <w:rPr>
          <w:color w:val="auto"/>
          <w:sz w:val="22"/>
          <w:szCs w:val="22"/>
        </w:rPr>
        <w:t>2013年～2018年，由于本标准一直未得到评审，后由于</w:t>
      </w:r>
      <w:r>
        <w:rPr>
          <w:rFonts w:hint="eastAsia"/>
          <w:color w:val="auto"/>
          <w:sz w:val="22"/>
          <w:szCs w:val="22"/>
        </w:rPr>
        <w:t>标准</w:t>
      </w:r>
      <w:r>
        <w:rPr>
          <w:color w:val="auto"/>
          <w:sz w:val="22"/>
          <w:szCs w:val="22"/>
        </w:rPr>
        <w:t>制定单位发生调整合并，标准制定工作中断暂停。</w:t>
      </w:r>
    </w:p>
    <w:p>
      <w:pPr>
        <w:spacing w:line="360" w:lineRule="auto"/>
        <w:ind w:firstLine="562" w:firstLineChars="200"/>
        <w:outlineLvl w:val="0"/>
        <w:rPr>
          <w:rFonts w:ascii="仿宋" w:hAnsi="仿宋" w:eastAsia="仿宋" w:cs="仿宋"/>
          <w:b/>
          <w:bCs/>
          <w:sz w:val="28"/>
          <w:szCs w:val="28"/>
        </w:rPr>
      </w:pPr>
      <w:r>
        <w:rPr>
          <w:rFonts w:hint="eastAsia" w:ascii="仿宋" w:hAnsi="仿宋" w:eastAsia="仿宋" w:cs="仿宋"/>
          <w:b/>
          <w:bCs/>
          <w:sz w:val="28"/>
          <w:szCs w:val="28"/>
        </w:rPr>
        <w:t>第六阶段：标准制定工作重启，第二次征求意见、申请预审</w:t>
      </w:r>
    </w:p>
    <w:p>
      <w:pPr>
        <w:snapToGrid w:val="0"/>
        <w:spacing w:line="360" w:lineRule="auto"/>
        <w:ind w:firstLine="420"/>
        <w:rPr>
          <w:rFonts w:ascii="宋体"/>
          <w:kern w:val="0"/>
          <w:sz w:val="22"/>
          <w:szCs w:val="18"/>
        </w:rPr>
      </w:pPr>
      <w:r>
        <w:rPr>
          <w:kern w:val="0"/>
          <w:sz w:val="22"/>
          <w:szCs w:val="18"/>
        </w:rPr>
        <w:t>2018</w:t>
      </w:r>
      <w:r>
        <w:rPr>
          <w:rFonts w:hint="eastAsia" w:ascii="宋体"/>
          <w:kern w:val="0"/>
          <w:sz w:val="22"/>
          <w:szCs w:val="18"/>
        </w:rPr>
        <w:t>年，在农业农村部梳理历年标准中重新启动了本标准制定工作。</w:t>
      </w:r>
    </w:p>
    <w:p>
      <w:pPr>
        <w:snapToGrid w:val="0"/>
        <w:spacing w:line="360" w:lineRule="auto"/>
        <w:ind w:firstLine="420"/>
        <w:rPr>
          <w:rFonts w:ascii="宋体"/>
          <w:kern w:val="0"/>
          <w:sz w:val="22"/>
          <w:szCs w:val="18"/>
        </w:rPr>
      </w:pPr>
      <w:r>
        <w:rPr>
          <w:rFonts w:hint="eastAsia" w:ascii="宋体"/>
          <w:kern w:val="0"/>
          <w:sz w:val="22"/>
          <w:szCs w:val="18"/>
        </w:rPr>
        <w:t>标准起草组查阅了标准制定中断期间国内外相关领域标准制修订工作进展，根据最新规定，对标准文本及编制说明进行了重新梳理与编写，力求保证标准的先进性与可操作性，再次形成标准文本及编制说明的定向征求意见稿。</w:t>
      </w:r>
    </w:p>
    <w:p>
      <w:pPr>
        <w:snapToGrid w:val="0"/>
        <w:spacing w:line="360" w:lineRule="auto"/>
        <w:ind w:firstLine="420"/>
        <w:rPr>
          <w:color w:val="auto"/>
          <w:sz w:val="22"/>
          <w:szCs w:val="22"/>
        </w:rPr>
      </w:pPr>
      <w:r>
        <w:rPr>
          <w:rFonts w:hint="eastAsia"/>
          <w:color w:val="auto"/>
          <w:sz w:val="22"/>
          <w:szCs w:val="22"/>
        </w:rPr>
        <w:t>2018年11月~12月，起草组并通过电子邮件方式发函至30家单位（企业、科研院所等），广泛征求意见</w:t>
      </w:r>
      <w:r>
        <w:rPr>
          <w:color w:val="auto"/>
          <w:sz w:val="22"/>
          <w:szCs w:val="22"/>
        </w:rPr>
        <w:t>。</w:t>
      </w:r>
      <w:r>
        <w:rPr>
          <w:rFonts w:hint="eastAsia"/>
          <w:color w:val="auto"/>
          <w:sz w:val="22"/>
          <w:szCs w:val="22"/>
        </w:rPr>
        <w:t>对回函进行梳理后</w:t>
      </w:r>
      <w:r>
        <w:rPr>
          <w:color w:val="auto"/>
          <w:sz w:val="22"/>
          <w:szCs w:val="22"/>
        </w:rPr>
        <w:t>经汇总</w:t>
      </w:r>
      <w:r>
        <w:rPr>
          <w:rFonts w:hint="eastAsia"/>
          <w:color w:val="auto"/>
          <w:sz w:val="22"/>
          <w:szCs w:val="22"/>
        </w:rPr>
        <w:t>，起草组共收到来自20家单位的</w:t>
      </w:r>
      <w:r>
        <w:rPr>
          <w:color w:val="auto"/>
          <w:sz w:val="22"/>
          <w:szCs w:val="22"/>
        </w:rPr>
        <w:t>回函2</w:t>
      </w:r>
      <w:r>
        <w:rPr>
          <w:rFonts w:hint="eastAsia"/>
          <w:color w:val="auto"/>
          <w:sz w:val="22"/>
          <w:szCs w:val="22"/>
        </w:rPr>
        <w:t>0</w:t>
      </w:r>
      <w:r>
        <w:rPr>
          <w:color w:val="auto"/>
          <w:sz w:val="22"/>
          <w:szCs w:val="22"/>
        </w:rPr>
        <w:t>份，</w:t>
      </w:r>
      <w:r>
        <w:rPr>
          <w:rFonts w:hint="eastAsia"/>
          <w:color w:val="auto"/>
          <w:sz w:val="22"/>
          <w:szCs w:val="22"/>
        </w:rPr>
        <w:t>回函并有建议或意见的18份，未回函的单位有10个；收到的建议或意见共68条，其中采纳58条，不采纳3条，部分采纳7条，详见附件</w:t>
      </w:r>
      <w:r>
        <w:rPr>
          <w:rFonts w:hint="eastAsia"/>
          <w:color w:val="auto"/>
          <w:sz w:val="22"/>
          <w:szCs w:val="22"/>
          <w:lang w:val="en-US" w:eastAsia="zh-CN"/>
        </w:rPr>
        <w:t>5定向</w:t>
      </w:r>
      <w:r>
        <w:rPr>
          <w:rFonts w:hint="eastAsia"/>
          <w:color w:val="auto"/>
          <w:sz w:val="22"/>
          <w:szCs w:val="22"/>
        </w:rPr>
        <w:t>征求意见汇总处理表。</w:t>
      </w:r>
    </w:p>
    <w:p>
      <w:pPr>
        <w:pStyle w:val="16"/>
        <w:snapToGrid w:val="0"/>
        <w:spacing w:line="360" w:lineRule="auto"/>
        <w:ind w:firstLine="440"/>
        <w:rPr>
          <w:rFonts w:ascii="Times New Roman"/>
          <w:sz w:val="22"/>
          <w:szCs w:val="18"/>
        </w:rPr>
      </w:pPr>
      <w:r>
        <w:rPr>
          <w:rFonts w:hint="eastAsia"/>
          <w:color w:val="auto"/>
          <w:sz w:val="22"/>
          <w:szCs w:val="18"/>
        </w:rPr>
        <w:t>部分专家针对标准文本的书写格式规范性提出了相关修改意见，对“生乳”、“奶液”“棉签”“采样部位”等术语名词的引用进行了统一强调；此外，专家重点针对牧场挤奶及贮奶设备清洗消毒程序中的技术关键点（如清洗消毒的时间、水温、酸碱清洗剂浓度百分比等流程的控制参数）也提出了建设性意见，例如：建议</w:t>
      </w:r>
      <w:r>
        <w:rPr>
          <w:rFonts w:hint="eastAsia"/>
          <w:sz w:val="22"/>
          <w:szCs w:val="18"/>
        </w:rPr>
        <w:t>用于处理、贮藏生乳的容器、用具和器械清洗消毒后应妥善存放，完全沥干水分，并</w:t>
      </w:r>
      <w:r>
        <w:rPr>
          <w:rFonts w:hint="eastAsia" w:ascii="Times New Roman"/>
          <w:sz w:val="22"/>
          <w:szCs w:val="18"/>
        </w:rPr>
        <w:t>避免受到污染；建议由于消毒过程热水会散热，需要明确不低于</w:t>
      </w:r>
      <w:r>
        <w:rPr>
          <w:rFonts w:ascii="Times New Roman"/>
          <w:sz w:val="22"/>
          <w:szCs w:val="18"/>
        </w:rPr>
        <w:t>77℃</w:t>
      </w:r>
      <w:r>
        <w:rPr>
          <w:rFonts w:hint="eastAsia" w:ascii="Times New Roman"/>
          <w:sz w:val="22"/>
          <w:szCs w:val="18"/>
        </w:rPr>
        <w:t>热水消毒至少</w:t>
      </w:r>
      <w:r>
        <w:rPr>
          <w:rFonts w:ascii="Times New Roman"/>
          <w:sz w:val="22"/>
          <w:szCs w:val="18"/>
        </w:rPr>
        <w:t>5</w:t>
      </w:r>
      <w:r>
        <w:rPr>
          <w:rFonts w:hint="eastAsia" w:ascii="Times New Roman"/>
          <w:sz w:val="22"/>
          <w:szCs w:val="18"/>
        </w:rPr>
        <w:t xml:space="preserve"> </w:t>
      </w:r>
      <w:r>
        <w:rPr>
          <w:rFonts w:ascii="Times New Roman"/>
          <w:sz w:val="22"/>
          <w:szCs w:val="18"/>
        </w:rPr>
        <w:t>min</w:t>
      </w:r>
      <w:r>
        <w:rPr>
          <w:rFonts w:hint="eastAsia" w:ascii="Times New Roman"/>
          <w:sz w:val="22"/>
          <w:szCs w:val="18"/>
        </w:rPr>
        <w:t>；建议实际清洗中清洗剂的浓度一般以酸碱液的质量百分数为准，最好把清洗剂</w:t>
      </w:r>
      <w:r>
        <w:rPr>
          <w:rFonts w:ascii="Times New Roman"/>
          <w:sz w:val="22"/>
          <w:szCs w:val="18"/>
        </w:rPr>
        <w:t>pH</w:t>
      </w:r>
      <w:r>
        <w:rPr>
          <w:rFonts w:hint="eastAsia" w:ascii="Times New Roman"/>
          <w:sz w:val="22"/>
          <w:szCs w:val="18"/>
        </w:rPr>
        <w:t>换成酸碱的质量百分数进行表述；建议进行清洗流程的调整，在“碱洗”步骤后增加</w:t>
      </w:r>
      <w:r>
        <w:rPr>
          <w:rFonts w:hint="eastAsia"/>
          <w:sz w:val="22"/>
          <w:szCs w:val="18"/>
        </w:rPr>
        <w:t>“水洗”步骤，以达到与标准文本“</w:t>
      </w:r>
      <w:r>
        <w:rPr>
          <w:rFonts w:ascii="Times New Roman"/>
          <w:sz w:val="22"/>
          <w:szCs w:val="18"/>
        </w:rPr>
        <w:t>图</w:t>
      </w:r>
      <w:r>
        <w:rPr>
          <w:rFonts w:hint="eastAsia" w:ascii="Times New Roman"/>
          <w:sz w:val="22"/>
          <w:szCs w:val="18"/>
        </w:rPr>
        <w:t>1</w:t>
      </w:r>
      <w:r>
        <w:rPr>
          <w:rFonts w:ascii="Times New Roman"/>
          <w:sz w:val="22"/>
          <w:szCs w:val="18"/>
        </w:rPr>
        <w:t xml:space="preserve"> </w:t>
      </w:r>
      <w:r>
        <w:rPr>
          <w:rFonts w:hint="eastAsia"/>
          <w:sz w:val="22"/>
          <w:szCs w:val="18"/>
        </w:rPr>
        <w:t>清洗消毒程序流程图”的表述一致性。</w:t>
      </w:r>
      <w:r>
        <w:rPr>
          <w:rFonts w:ascii="Times New Roman"/>
          <w:sz w:val="22"/>
          <w:szCs w:val="18"/>
        </w:rPr>
        <w:t>2022年10月</w:t>
      </w:r>
      <w:r>
        <w:rPr>
          <w:rFonts w:hint="eastAsia" w:ascii="Times New Roman"/>
          <w:sz w:val="22"/>
          <w:szCs w:val="18"/>
        </w:rPr>
        <w:t>，标准起草组</w:t>
      </w:r>
      <w:r>
        <w:rPr>
          <w:rFonts w:ascii="Times New Roman"/>
          <w:sz w:val="22"/>
          <w:szCs w:val="18"/>
        </w:rPr>
        <w:t>向全国畜牧业标准化技术委员会提交正式预审申请。</w:t>
      </w:r>
    </w:p>
    <w:p>
      <w:pPr>
        <w:spacing w:line="360" w:lineRule="auto"/>
        <w:ind w:firstLine="562" w:firstLineChars="200"/>
        <w:outlineLvl w:val="0"/>
        <w:rPr>
          <w:rFonts w:hint="eastAsia" w:ascii="仿宋" w:hAnsi="仿宋" w:eastAsia="仿宋" w:cs="仿宋"/>
          <w:b/>
          <w:bCs/>
          <w:sz w:val="28"/>
          <w:szCs w:val="28"/>
        </w:rPr>
      </w:pPr>
      <w:r>
        <w:rPr>
          <w:rFonts w:hint="eastAsia" w:ascii="仿宋" w:hAnsi="仿宋" w:eastAsia="仿宋" w:cs="仿宋"/>
          <w:b/>
          <w:bCs/>
          <w:sz w:val="28"/>
          <w:szCs w:val="28"/>
        </w:rPr>
        <w:t>第七阶段：标准预审</w:t>
      </w:r>
    </w:p>
    <w:p>
      <w:pPr>
        <w:snapToGrid w:val="0"/>
        <w:spacing w:line="360" w:lineRule="auto"/>
        <w:ind w:firstLine="420"/>
        <w:rPr>
          <w:rFonts w:hint="default" w:ascii="Times New Roman" w:hAnsi="Times New Roman" w:cs="Times New Roman"/>
          <w:color w:val="auto"/>
          <w:szCs w:val="21"/>
        </w:rPr>
      </w:pPr>
      <w:r>
        <w:rPr>
          <w:rFonts w:hint="default" w:ascii="Times New Roman" w:hAnsi="Times New Roman" w:cs="Times New Roman"/>
          <w:color w:val="auto"/>
          <w:kern w:val="0"/>
          <w:sz w:val="22"/>
          <w:szCs w:val="18"/>
        </w:rPr>
        <w:t>2022年11月10～11日，上海市农产品质量安全中心组织对本标准进行预审。在全国畜牧业标准化技术委员会的协助下，邀请11位专家成立评审组，对本标准技术内容再次把关和论证，并通过审查。对预审会议进行梳理后，专家组一共提出20条审查意见，主要为：1）将本文件名称修改为《挤奶及储奶设备清洗消毒技术规范》；2）修改标准章节为基本要求和操作要求以及证实方法；3）删除“清洗”、“消毒”、“消毒剂”术语和定义，增加“挤奶设备”术语定义的来源；4）修改清洗消毒流程图；5）新增清洗后水pH及游离性余氯的检测方法，将附录B内容修改后整合入正文，详见附件</w:t>
      </w:r>
      <w:r>
        <w:rPr>
          <w:rFonts w:hint="eastAsia" w:cs="Times New Roman"/>
          <w:color w:val="auto"/>
          <w:kern w:val="0"/>
          <w:sz w:val="22"/>
          <w:szCs w:val="18"/>
          <w:lang w:val="en-US" w:eastAsia="zh-CN"/>
        </w:rPr>
        <w:t>1预审会预审意见</w:t>
      </w:r>
      <w:r>
        <w:rPr>
          <w:rFonts w:hint="default" w:ascii="Times New Roman" w:hAnsi="Times New Roman" w:cs="Times New Roman"/>
          <w:color w:val="auto"/>
          <w:kern w:val="0"/>
          <w:sz w:val="22"/>
          <w:szCs w:val="18"/>
        </w:rPr>
        <w:t>及附件</w:t>
      </w:r>
      <w:r>
        <w:rPr>
          <w:rFonts w:hint="eastAsia" w:cs="Times New Roman"/>
          <w:color w:val="auto"/>
          <w:kern w:val="0"/>
          <w:sz w:val="22"/>
          <w:szCs w:val="18"/>
          <w:lang w:val="en-US" w:eastAsia="zh-CN"/>
        </w:rPr>
        <w:t>2预审会议审查意见汇总处理表</w:t>
      </w:r>
      <w:r>
        <w:rPr>
          <w:rFonts w:hint="default" w:ascii="Times New Roman" w:hAnsi="Times New Roman" w:cs="Times New Roman"/>
          <w:color w:val="auto"/>
          <w:kern w:val="0"/>
          <w:sz w:val="22"/>
          <w:szCs w:val="18"/>
        </w:rPr>
        <w:t>。标准起草工作组根据预审专家组的意见进一步修改完善标准文本和编制说明，形成标准送审稿。</w:t>
      </w:r>
    </w:p>
    <w:p>
      <w:pPr>
        <w:spacing w:line="360" w:lineRule="auto"/>
        <w:rPr>
          <w:rFonts w:eastAsia="黑体"/>
          <w:b/>
          <w:sz w:val="28"/>
          <w:szCs w:val="40"/>
        </w:rPr>
      </w:pPr>
      <w:r>
        <w:rPr>
          <w:rFonts w:hint="eastAsia" w:eastAsia="黑体"/>
          <w:b/>
          <w:sz w:val="28"/>
          <w:szCs w:val="40"/>
        </w:rPr>
        <w:t>三、 标准编制原则和主要技术内容确定的依据</w:t>
      </w:r>
    </w:p>
    <w:p>
      <w:pPr>
        <w:spacing w:line="360" w:lineRule="auto"/>
        <w:rPr>
          <w:rFonts w:ascii="仿宋" w:hAnsi="仿宋" w:eastAsia="仿宋" w:cs="仿宋"/>
          <w:b/>
          <w:sz w:val="24"/>
        </w:rPr>
      </w:pPr>
      <w:r>
        <w:rPr>
          <w:rFonts w:hint="eastAsia" w:ascii="仿宋" w:hAnsi="仿宋" w:eastAsia="仿宋" w:cs="仿宋"/>
          <w:b/>
          <w:sz w:val="24"/>
        </w:rPr>
        <w:t>（一）标准制定过程遵循的基本原则</w:t>
      </w:r>
    </w:p>
    <w:p>
      <w:pPr>
        <w:numPr>
          <w:ilvl w:val="255"/>
          <w:numId w:val="0"/>
        </w:numPr>
        <w:spacing w:line="360" w:lineRule="auto"/>
        <w:ind w:firstLine="440" w:firstLineChars="200"/>
        <w:rPr>
          <w:sz w:val="22"/>
          <w:szCs w:val="22"/>
        </w:rPr>
      </w:pPr>
      <w:r>
        <w:rPr>
          <w:rFonts w:hint="eastAsia"/>
          <w:sz w:val="22"/>
          <w:szCs w:val="22"/>
        </w:rPr>
        <w:t>本文件按照GB/T 1.1-2020《标准化工作导则 第1部分：标准化文件的结构和起草规则》的规定起草，同时遵循以下原则：</w:t>
      </w:r>
    </w:p>
    <w:p>
      <w:pPr>
        <w:numPr>
          <w:ilvl w:val="255"/>
          <w:numId w:val="0"/>
        </w:numPr>
        <w:spacing w:line="360" w:lineRule="auto"/>
        <w:ind w:firstLine="440" w:firstLineChars="200"/>
        <w:rPr>
          <w:sz w:val="22"/>
          <w:szCs w:val="22"/>
        </w:rPr>
      </w:pPr>
      <w:r>
        <w:rPr>
          <w:rFonts w:hint="eastAsia"/>
          <w:sz w:val="22"/>
          <w:szCs w:val="22"/>
        </w:rPr>
        <w:t>（1）政策性：制定本标准直接关系到国家和广大人民群众的利益。因此，在制定过程中严格贯彻国家有关方针、政策、法规和规章。</w:t>
      </w:r>
    </w:p>
    <w:p>
      <w:pPr>
        <w:numPr>
          <w:ilvl w:val="255"/>
          <w:numId w:val="0"/>
        </w:numPr>
        <w:spacing w:line="360" w:lineRule="auto"/>
        <w:ind w:firstLine="440" w:firstLineChars="200"/>
        <w:rPr>
          <w:sz w:val="22"/>
          <w:szCs w:val="22"/>
        </w:rPr>
      </w:pPr>
      <w:r>
        <w:rPr>
          <w:rFonts w:hint="eastAsia"/>
          <w:sz w:val="22"/>
          <w:szCs w:val="22"/>
        </w:rPr>
        <w:t>（2）先进性：对本标准中有关内容的确定，力求反映本研究领域的国内外先进技术和经验，使标准中所规定的技术内容有利于菌落总数的控制。</w:t>
      </w:r>
    </w:p>
    <w:p>
      <w:pPr>
        <w:numPr>
          <w:ilvl w:val="255"/>
          <w:numId w:val="0"/>
        </w:numPr>
        <w:spacing w:line="360" w:lineRule="auto"/>
        <w:ind w:firstLine="440" w:firstLineChars="200"/>
        <w:rPr>
          <w:sz w:val="22"/>
          <w:szCs w:val="22"/>
        </w:rPr>
      </w:pPr>
      <w:r>
        <w:rPr>
          <w:rFonts w:hint="eastAsia"/>
          <w:sz w:val="22"/>
          <w:szCs w:val="22"/>
        </w:rPr>
        <w:t>（3）规范性：在本标准征求意见稿的编制过程中力求做到技术内容的叙述正确无误，文字表达准确和简明易懂，标准的构成严谨合理；内容编排、层次划分等符合逻辑。</w:t>
      </w:r>
    </w:p>
    <w:p>
      <w:pPr>
        <w:numPr>
          <w:ilvl w:val="255"/>
          <w:numId w:val="0"/>
        </w:numPr>
        <w:spacing w:line="360" w:lineRule="auto"/>
        <w:ind w:firstLine="440" w:firstLineChars="200"/>
        <w:rPr>
          <w:sz w:val="22"/>
          <w:szCs w:val="22"/>
        </w:rPr>
      </w:pPr>
      <w:r>
        <w:rPr>
          <w:rFonts w:hint="eastAsia"/>
          <w:sz w:val="22"/>
          <w:szCs w:val="22"/>
        </w:rPr>
        <w:t>（4）可操作性：可操作性是制定标准的必备因素，因此，在制定标准的过程中，始终把经济实用和可操作性作为重要的依据，以便在执行中容易操作。</w:t>
      </w:r>
    </w:p>
    <w:p>
      <w:pPr>
        <w:spacing w:line="360" w:lineRule="auto"/>
        <w:rPr>
          <w:rFonts w:ascii="仿宋" w:hAnsi="仿宋" w:eastAsia="仿宋" w:cs="仿宋"/>
          <w:b/>
          <w:sz w:val="24"/>
        </w:rPr>
      </w:pPr>
      <w:r>
        <w:rPr>
          <w:rFonts w:hint="eastAsia" w:ascii="仿宋" w:hAnsi="仿宋" w:eastAsia="仿宋" w:cs="仿宋"/>
          <w:b/>
          <w:sz w:val="24"/>
        </w:rPr>
        <w:t>（二）主要内容确定的依据</w:t>
      </w:r>
    </w:p>
    <w:p>
      <w:pPr>
        <w:numPr>
          <w:ilvl w:val="255"/>
          <w:numId w:val="0"/>
        </w:numPr>
        <w:spacing w:line="360" w:lineRule="auto"/>
        <w:rPr>
          <w:sz w:val="22"/>
          <w:szCs w:val="22"/>
        </w:rPr>
      </w:pPr>
      <w:r>
        <w:rPr>
          <w:sz w:val="24"/>
        </w:rPr>
        <w:t xml:space="preserve">  </w:t>
      </w:r>
      <w:r>
        <w:rPr>
          <w:sz w:val="22"/>
          <w:szCs w:val="22"/>
        </w:rPr>
        <w:t xml:space="preserve"> </w:t>
      </w:r>
      <w:r>
        <w:rPr>
          <w:rFonts w:hint="eastAsia"/>
          <w:sz w:val="22"/>
          <w:szCs w:val="22"/>
        </w:rPr>
        <w:t>本标准文本共分为7章，分别为第1章范围、第2章规范性引用文件、第3章术语和定义、第4章清洗消毒程序、第5章基本要求、第6章清洗消毒操作要求、第7章证实方法。另附1个子附录，为附录</w:t>
      </w:r>
      <w:r>
        <w:rPr>
          <w:sz w:val="22"/>
          <w:szCs w:val="22"/>
        </w:rPr>
        <w:t>A</w:t>
      </w:r>
      <w:r>
        <w:rPr>
          <w:rFonts w:hint="eastAsia"/>
          <w:sz w:val="22"/>
          <w:szCs w:val="22"/>
        </w:rPr>
        <w:t>涂抹法采样及检测。</w:t>
      </w:r>
    </w:p>
    <w:p>
      <w:pPr>
        <w:spacing w:line="360" w:lineRule="auto"/>
        <w:rPr>
          <w:rFonts w:ascii="黑体" w:hAnsi="黑体" w:eastAsia="黑体"/>
          <w:sz w:val="22"/>
          <w:szCs w:val="22"/>
        </w:rPr>
      </w:pPr>
      <w:r>
        <w:rPr>
          <w:rFonts w:hint="eastAsia" w:ascii="黑体" w:hAnsi="黑体" w:eastAsia="黑体"/>
          <w:sz w:val="22"/>
          <w:szCs w:val="22"/>
        </w:rPr>
        <w:t>1、</w:t>
      </w:r>
      <w:r>
        <w:rPr>
          <w:rFonts w:ascii="黑体" w:hAnsi="黑体" w:eastAsia="黑体"/>
          <w:sz w:val="22"/>
          <w:szCs w:val="22"/>
        </w:rPr>
        <w:t>范围</w:t>
      </w:r>
    </w:p>
    <w:p>
      <w:pPr>
        <w:numPr>
          <w:ilvl w:val="255"/>
          <w:numId w:val="0"/>
        </w:numPr>
        <w:spacing w:line="360" w:lineRule="auto"/>
        <w:ind w:firstLine="442" w:firstLineChars="200"/>
        <w:rPr>
          <w:b/>
          <w:sz w:val="22"/>
          <w:szCs w:val="22"/>
        </w:rPr>
      </w:pPr>
      <w:r>
        <w:rPr>
          <w:rFonts w:hint="eastAsia"/>
          <w:b/>
          <w:sz w:val="22"/>
          <w:szCs w:val="22"/>
        </w:rPr>
        <w:t>标准内容</w:t>
      </w:r>
      <w:r>
        <w:rPr>
          <w:b/>
          <w:sz w:val="22"/>
          <w:szCs w:val="22"/>
        </w:rPr>
        <w:t>1</w:t>
      </w:r>
    </w:p>
    <w:p>
      <w:pPr>
        <w:numPr>
          <w:ilvl w:val="255"/>
          <w:numId w:val="0"/>
        </w:numPr>
        <w:spacing w:line="360" w:lineRule="auto"/>
        <w:ind w:firstLine="440" w:firstLineChars="200"/>
        <w:rPr>
          <w:sz w:val="22"/>
          <w:szCs w:val="22"/>
        </w:rPr>
      </w:pPr>
      <w:r>
        <w:rPr>
          <w:rFonts w:hint="eastAsia"/>
          <w:sz w:val="22"/>
          <w:szCs w:val="22"/>
        </w:rPr>
        <w:t>本文件确立了挤奶及储奶设备的清洗消毒程序，规定了清洗消毒的基本要求和操作要求，描述了相应的证实方法。</w:t>
      </w:r>
    </w:p>
    <w:p>
      <w:pPr>
        <w:numPr>
          <w:ilvl w:val="255"/>
          <w:numId w:val="0"/>
        </w:numPr>
        <w:spacing w:line="360" w:lineRule="auto"/>
        <w:ind w:firstLine="440" w:firstLineChars="200"/>
        <w:rPr>
          <w:sz w:val="22"/>
          <w:szCs w:val="22"/>
        </w:rPr>
      </w:pPr>
      <w:r>
        <w:rPr>
          <w:rFonts w:hint="eastAsia"/>
          <w:sz w:val="22"/>
          <w:szCs w:val="22"/>
        </w:rPr>
        <w:t>本文件适用于奶畜养殖场挤奶及储奶设备的清洗和消毒。</w:t>
      </w:r>
    </w:p>
    <w:p>
      <w:pPr>
        <w:numPr>
          <w:ilvl w:val="255"/>
          <w:numId w:val="0"/>
        </w:numPr>
        <w:spacing w:line="360" w:lineRule="auto"/>
        <w:ind w:firstLine="442" w:firstLineChars="200"/>
        <w:rPr>
          <w:b/>
          <w:sz w:val="22"/>
          <w:szCs w:val="22"/>
        </w:rPr>
      </w:pPr>
      <w:r>
        <w:rPr>
          <w:rFonts w:hint="eastAsia"/>
          <w:b/>
          <w:sz w:val="22"/>
          <w:szCs w:val="22"/>
        </w:rPr>
        <w:t>理由及依据：</w:t>
      </w:r>
    </w:p>
    <w:p>
      <w:pPr>
        <w:spacing w:line="360" w:lineRule="auto"/>
        <w:ind w:firstLine="440" w:firstLineChars="200"/>
        <w:rPr>
          <w:sz w:val="22"/>
          <w:szCs w:val="22"/>
        </w:rPr>
      </w:pPr>
      <w:r>
        <w:rPr>
          <w:rFonts w:hint="eastAsia"/>
          <w:sz w:val="22"/>
          <w:szCs w:val="22"/>
        </w:rPr>
        <w:t>本文件规定了设备清洗消毒的对象，即为奶畜养殖场内的挤奶及储奶设备，对于离开养殖场的运输设备（如运输车上的奶罐）的清洗不属于本标准的范畴。另外，考虑到除了奶牛之外其它奶畜场清洗消毒技术相似，采纳了专家意见，将其它奶畜场也纳入本标准范围。将本文件适用范围确定为：本文件适用于奶畜养殖场挤奶及储奶设备的清洗和消毒，为其它特色奶畜养殖场挤奶及储奶设备的清洗和消毒提供技术参考。</w:t>
      </w:r>
    </w:p>
    <w:p>
      <w:pPr>
        <w:spacing w:line="360" w:lineRule="auto"/>
        <w:rPr>
          <w:rFonts w:ascii="黑体" w:hAnsi="黑体" w:eastAsia="黑体"/>
          <w:sz w:val="22"/>
          <w:szCs w:val="22"/>
        </w:rPr>
      </w:pPr>
      <w:r>
        <w:rPr>
          <w:rFonts w:hint="eastAsia" w:ascii="黑体" w:hAnsi="黑体" w:eastAsia="黑体"/>
          <w:sz w:val="22"/>
          <w:szCs w:val="22"/>
        </w:rPr>
        <w:t>2、术语与定义</w:t>
      </w:r>
    </w:p>
    <w:p>
      <w:pPr>
        <w:spacing w:line="360" w:lineRule="auto"/>
        <w:ind w:firstLine="440" w:firstLineChars="200"/>
        <w:rPr>
          <w:sz w:val="22"/>
          <w:szCs w:val="22"/>
        </w:rPr>
      </w:pPr>
      <w:r>
        <w:rPr>
          <w:rFonts w:hint="eastAsia"/>
          <w:sz w:val="22"/>
          <w:szCs w:val="22"/>
        </w:rPr>
        <w:t>在标准起草过程中，通过查阅国内外相关标准，指出下列术语和定义可适用于本标准。</w:t>
      </w:r>
    </w:p>
    <w:p>
      <w:pPr>
        <w:spacing w:line="360" w:lineRule="auto"/>
        <w:rPr>
          <w:rFonts w:ascii="黑体" w:hAnsi="黑体" w:eastAsia="黑体"/>
          <w:sz w:val="22"/>
          <w:szCs w:val="22"/>
        </w:rPr>
      </w:pPr>
      <w:r>
        <w:rPr>
          <w:rFonts w:hint="eastAsia" w:ascii="黑体" w:hAnsi="黑体" w:eastAsia="黑体"/>
          <w:sz w:val="22"/>
          <w:szCs w:val="22"/>
        </w:rPr>
        <w:t>2.1 挤奶设备milking equipment</w:t>
      </w:r>
    </w:p>
    <w:p>
      <w:pPr>
        <w:numPr>
          <w:ilvl w:val="255"/>
          <w:numId w:val="0"/>
        </w:numPr>
        <w:spacing w:line="360" w:lineRule="auto"/>
        <w:ind w:firstLine="442" w:firstLineChars="200"/>
        <w:rPr>
          <w:b/>
          <w:bCs/>
          <w:sz w:val="22"/>
          <w:szCs w:val="22"/>
        </w:rPr>
      </w:pPr>
      <w:r>
        <w:rPr>
          <w:b/>
          <w:bCs/>
          <w:sz w:val="22"/>
          <w:szCs w:val="22"/>
        </w:rPr>
        <w:t>标准内容3.1</w:t>
      </w:r>
    </w:p>
    <w:p>
      <w:pPr>
        <w:numPr>
          <w:ilvl w:val="255"/>
          <w:numId w:val="0"/>
        </w:numPr>
        <w:spacing w:line="360" w:lineRule="auto"/>
        <w:ind w:firstLine="440" w:firstLineChars="200"/>
        <w:rPr>
          <w:sz w:val="22"/>
          <w:szCs w:val="22"/>
        </w:rPr>
      </w:pPr>
      <w:r>
        <w:rPr>
          <w:sz w:val="22"/>
          <w:szCs w:val="22"/>
        </w:rPr>
        <w:t>由挤奶杯组、脉动器、真空系统、稳压系统、奶水分离器、接收容器及管道等组成的用于挤集生乳的设备。</w:t>
      </w:r>
    </w:p>
    <w:p>
      <w:pPr>
        <w:numPr>
          <w:ilvl w:val="255"/>
          <w:numId w:val="0"/>
        </w:numPr>
        <w:spacing w:line="360" w:lineRule="auto"/>
        <w:ind w:firstLine="440" w:firstLineChars="200"/>
        <w:rPr>
          <w:sz w:val="22"/>
          <w:szCs w:val="22"/>
        </w:rPr>
      </w:pPr>
      <w:r>
        <w:rPr>
          <w:sz w:val="22"/>
          <w:szCs w:val="22"/>
        </w:rPr>
        <w:t>[来源：GB/T 5981—2011，3.1，有修改]</w:t>
      </w:r>
    </w:p>
    <w:p>
      <w:pPr>
        <w:numPr>
          <w:ilvl w:val="255"/>
          <w:numId w:val="0"/>
        </w:numPr>
        <w:spacing w:line="360" w:lineRule="auto"/>
        <w:ind w:firstLine="442" w:firstLineChars="200"/>
        <w:rPr>
          <w:b/>
          <w:sz w:val="22"/>
          <w:szCs w:val="22"/>
        </w:rPr>
      </w:pPr>
      <w:r>
        <w:rPr>
          <w:rFonts w:hint="eastAsia"/>
          <w:b/>
          <w:sz w:val="22"/>
          <w:szCs w:val="22"/>
        </w:rPr>
        <w:t>理由及依据：</w:t>
      </w:r>
    </w:p>
    <w:p>
      <w:pPr>
        <w:spacing w:line="360" w:lineRule="auto"/>
        <w:ind w:firstLine="440" w:firstLineChars="200"/>
        <w:rPr>
          <w:sz w:val="22"/>
          <w:szCs w:val="22"/>
        </w:rPr>
      </w:pPr>
      <w:r>
        <w:rPr>
          <w:sz w:val="22"/>
          <w:szCs w:val="22"/>
        </w:rPr>
        <w:t>根据GB/T 5981-2011《挤奶设备 词汇》中术语定义，</w:t>
      </w:r>
      <w:r>
        <w:rPr>
          <w:rFonts w:hint="eastAsia"/>
          <w:sz w:val="22"/>
          <w:szCs w:val="22"/>
        </w:rPr>
        <w:t>“</w:t>
      </w:r>
      <w:r>
        <w:rPr>
          <w:sz w:val="22"/>
          <w:szCs w:val="22"/>
        </w:rPr>
        <w:t>挤奶机</w:t>
      </w:r>
      <w:r>
        <w:rPr>
          <w:rFonts w:hint="eastAsia"/>
          <w:sz w:val="22"/>
          <w:szCs w:val="22"/>
        </w:rPr>
        <w:t>”</w:t>
      </w:r>
      <w:r>
        <w:rPr>
          <w:sz w:val="22"/>
          <w:szCs w:val="22"/>
        </w:rPr>
        <w:t>是指用于挤奶的全套机械设备，通常包括真空系统、脉动系统、奶系统、一套或多套挤奶单元以及其它部件。</w:t>
      </w:r>
      <w:r>
        <w:rPr>
          <w:rFonts w:hint="eastAsia"/>
          <w:sz w:val="22"/>
          <w:szCs w:val="22"/>
        </w:rPr>
        <w:t>经修改和完善定义，</w:t>
      </w:r>
      <w:r>
        <w:rPr>
          <w:sz w:val="22"/>
          <w:szCs w:val="22"/>
        </w:rPr>
        <w:t>本文件中</w:t>
      </w:r>
      <w:r>
        <w:rPr>
          <w:rFonts w:hint="eastAsia"/>
          <w:sz w:val="22"/>
          <w:szCs w:val="22"/>
        </w:rPr>
        <w:t>“</w:t>
      </w:r>
      <w:r>
        <w:rPr>
          <w:sz w:val="22"/>
          <w:szCs w:val="22"/>
        </w:rPr>
        <w:t>挤奶设备</w:t>
      </w:r>
      <w:r>
        <w:rPr>
          <w:rFonts w:hint="eastAsia"/>
          <w:sz w:val="22"/>
          <w:szCs w:val="22"/>
        </w:rPr>
        <w:t>”</w:t>
      </w:r>
      <w:r>
        <w:rPr>
          <w:sz w:val="22"/>
          <w:szCs w:val="22"/>
        </w:rPr>
        <w:t>指由挤奶杯组、脉动器、真空系统、稳压系统、奶水分离器、接收容器及管道等组成的用于挤集生乳的设备。</w:t>
      </w:r>
    </w:p>
    <w:p>
      <w:pPr>
        <w:spacing w:line="360" w:lineRule="auto"/>
        <w:rPr>
          <w:rFonts w:ascii="黑体" w:hAnsi="黑体" w:eastAsia="黑体"/>
          <w:sz w:val="22"/>
          <w:szCs w:val="22"/>
        </w:rPr>
      </w:pPr>
      <w:r>
        <w:rPr>
          <w:rFonts w:hint="eastAsia" w:ascii="黑体" w:hAnsi="黑体" w:eastAsia="黑体"/>
          <w:sz w:val="22"/>
          <w:szCs w:val="22"/>
        </w:rPr>
        <w:t>2.2 储奶设备milk storage equipment</w:t>
      </w:r>
    </w:p>
    <w:p>
      <w:pPr>
        <w:numPr>
          <w:ilvl w:val="255"/>
          <w:numId w:val="0"/>
        </w:numPr>
        <w:spacing w:line="360" w:lineRule="auto"/>
        <w:ind w:firstLine="442" w:firstLineChars="200"/>
        <w:rPr>
          <w:b/>
          <w:sz w:val="22"/>
          <w:szCs w:val="22"/>
        </w:rPr>
      </w:pPr>
      <w:r>
        <w:rPr>
          <w:rFonts w:hint="eastAsia"/>
          <w:b/>
          <w:sz w:val="22"/>
          <w:szCs w:val="22"/>
        </w:rPr>
        <w:t>标准内容</w:t>
      </w:r>
      <w:r>
        <w:rPr>
          <w:b/>
          <w:sz w:val="22"/>
          <w:szCs w:val="22"/>
        </w:rPr>
        <w:t>3.2</w:t>
      </w:r>
    </w:p>
    <w:p>
      <w:pPr>
        <w:widowControl/>
        <w:spacing w:before="80" w:after="80"/>
        <w:ind w:firstLine="440" w:firstLineChars="200"/>
        <w:jc w:val="left"/>
        <w:rPr>
          <w:color w:val="000000"/>
          <w:kern w:val="0"/>
          <w:sz w:val="22"/>
          <w:szCs w:val="22"/>
        </w:rPr>
      </w:pPr>
      <w:r>
        <w:rPr>
          <w:rFonts w:hint="eastAsia" w:cs="宋体"/>
          <w:color w:val="000000"/>
          <w:sz w:val="22"/>
          <w:szCs w:val="22"/>
        </w:rPr>
        <w:t>储存生乳的设备及其辅助设施。</w:t>
      </w:r>
    </w:p>
    <w:p>
      <w:pPr>
        <w:widowControl/>
        <w:numPr>
          <w:ilvl w:val="255"/>
          <w:numId w:val="0"/>
        </w:numPr>
        <w:spacing w:line="360" w:lineRule="auto"/>
        <w:ind w:firstLine="442" w:firstLineChars="200"/>
        <w:jc w:val="left"/>
        <w:rPr>
          <w:b/>
          <w:sz w:val="22"/>
          <w:szCs w:val="22"/>
        </w:rPr>
      </w:pPr>
      <w:r>
        <w:rPr>
          <w:rFonts w:hint="eastAsia"/>
          <w:b/>
          <w:sz w:val="22"/>
          <w:szCs w:val="22"/>
        </w:rPr>
        <w:t>理由及依据：</w:t>
      </w:r>
    </w:p>
    <w:p>
      <w:pPr>
        <w:spacing w:line="360" w:lineRule="auto"/>
        <w:ind w:firstLine="440" w:firstLineChars="200"/>
        <w:rPr>
          <w:rFonts w:ascii="黑体" w:hAnsi="黑体" w:eastAsia="黑体"/>
          <w:sz w:val="22"/>
          <w:szCs w:val="22"/>
        </w:rPr>
      </w:pPr>
      <w:r>
        <w:rPr>
          <w:rFonts w:hint="eastAsia"/>
          <w:sz w:val="22"/>
          <w:szCs w:val="22"/>
        </w:rPr>
        <w:t>根据GB/T 13879-2015《贮奶罐》和GB/T 10942-2017《散装乳冷藏罐》中术语定义，“散装乳冷藏罐”是指具有贮藏散状乳和冷藏功能的罐状设备。本文件中“储奶设备”指储存生乳的设备及其辅助设施。</w:t>
      </w:r>
    </w:p>
    <w:p>
      <w:pPr>
        <w:spacing w:line="360" w:lineRule="auto"/>
        <w:rPr>
          <w:rFonts w:ascii="黑体" w:hAnsi="黑体" w:eastAsia="黑体"/>
          <w:sz w:val="22"/>
          <w:szCs w:val="22"/>
        </w:rPr>
      </w:pPr>
      <w:r>
        <w:rPr>
          <w:rFonts w:hint="eastAsia" w:ascii="黑体" w:hAnsi="黑体" w:eastAsia="黑体"/>
          <w:sz w:val="22"/>
          <w:szCs w:val="22"/>
        </w:rPr>
        <w:t>3、清洗消毒程序</w:t>
      </w:r>
    </w:p>
    <w:p>
      <w:pPr>
        <w:widowControl/>
        <w:spacing w:line="360" w:lineRule="auto"/>
        <w:ind w:firstLine="440" w:firstLineChars="200"/>
        <w:jc w:val="left"/>
        <w:rPr>
          <w:sz w:val="22"/>
          <w:szCs w:val="22"/>
        </w:rPr>
      </w:pPr>
      <w:r>
        <w:rPr>
          <w:rFonts w:hint="eastAsia"/>
          <w:sz w:val="22"/>
          <w:szCs w:val="22"/>
        </w:rPr>
        <w:t>见图1。</w:t>
      </w:r>
    </w:p>
    <w:p>
      <w:pPr>
        <w:jc w:val="center"/>
        <w:rPr>
          <w:rFonts w:ascii="黑体" w:hAnsi="黑体" w:eastAsia="黑体" w:cs="黑体"/>
          <w:bCs/>
          <w:color w:val="000000"/>
        </w:rPr>
      </w:pPr>
      <w:r>
        <w:rPr>
          <w:rFonts w:hint="eastAsia" w:ascii="黑体" w:hAnsi="黑体" w:eastAsia="黑体" w:cs="黑体"/>
          <w:bCs/>
          <w:color w:val="000000"/>
        </w:rPr>
        <w:drawing>
          <wp:inline distT="0" distB="0" distL="114300" distR="114300">
            <wp:extent cx="3307080" cy="3288665"/>
            <wp:effectExtent l="19050" t="0" r="7367" b="0"/>
            <wp:docPr id="12" name="图片 12" descr="图片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图片11"/>
                    <pic:cNvPicPr>
                      <a:picLocks noChangeAspect="1"/>
                    </pic:cNvPicPr>
                  </pic:nvPicPr>
                  <pic:blipFill>
                    <a:blip r:embed="rId6" cstate="print"/>
                    <a:stretch>
                      <a:fillRect/>
                    </a:stretch>
                  </pic:blipFill>
                  <pic:spPr>
                    <a:xfrm>
                      <a:off x="0" y="0"/>
                      <a:ext cx="3314880" cy="3296272"/>
                    </a:xfrm>
                    <a:prstGeom prst="rect">
                      <a:avLst/>
                    </a:prstGeom>
                  </pic:spPr>
                </pic:pic>
              </a:graphicData>
            </a:graphic>
          </wp:inline>
        </w:drawing>
      </w:r>
    </w:p>
    <w:p>
      <w:pPr>
        <w:spacing w:beforeLines="50"/>
        <w:jc w:val="center"/>
        <w:rPr>
          <w:rFonts w:ascii="黑体" w:hAnsi="黑体" w:eastAsia="黑体"/>
          <w:sz w:val="22"/>
          <w:szCs w:val="22"/>
        </w:rPr>
      </w:pPr>
      <w:r>
        <w:rPr>
          <w:rFonts w:hint="eastAsia" w:ascii="宋体" w:hAnsi="宋体" w:cs="宋体"/>
          <w:b/>
          <w:color w:val="000000"/>
        </w:rPr>
        <w:t xml:space="preserve">  图</w:t>
      </w:r>
      <w:r>
        <w:rPr>
          <w:rFonts w:ascii="宋体" w:hAnsi="宋体" w:cs="宋体"/>
          <w:b/>
          <w:color w:val="000000"/>
        </w:rPr>
        <w:t xml:space="preserve">1 </w:t>
      </w:r>
      <w:r>
        <w:rPr>
          <w:rFonts w:hint="eastAsia" w:ascii="宋体" w:hAnsi="宋体" w:cs="宋体"/>
          <w:b/>
          <w:color w:val="000000"/>
        </w:rPr>
        <w:t>清洗消毒程序流程图</w:t>
      </w:r>
    </w:p>
    <w:p>
      <w:pPr>
        <w:snapToGrid w:val="0"/>
        <w:spacing w:beforeLines="50" w:afterLines="50" w:line="360" w:lineRule="auto"/>
        <w:rPr>
          <w:rFonts w:ascii="黑体" w:hAnsi="黑体" w:eastAsia="黑体"/>
          <w:sz w:val="22"/>
          <w:szCs w:val="22"/>
        </w:rPr>
      </w:pPr>
      <w:r>
        <w:rPr>
          <w:rFonts w:hint="eastAsia" w:ascii="黑体" w:hAnsi="黑体" w:eastAsia="黑体"/>
          <w:sz w:val="22"/>
          <w:szCs w:val="22"/>
        </w:rPr>
        <w:t>4、基本要求</w:t>
      </w:r>
    </w:p>
    <w:p>
      <w:pPr>
        <w:snapToGrid w:val="0"/>
        <w:spacing w:line="360" w:lineRule="auto"/>
        <w:ind w:firstLine="420"/>
        <w:rPr>
          <w:b/>
          <w:sz w:val="22"/>
          <w:szCs w:val="22"/>
        </w:rPr>
      </w:pPr>
      <w:r>
        <w:rPr>
          <w:b/>
          <w:sz w:val="22"/>
          <w:szCs w:val="22"/>
        </w:rPr>
        <w:t xml:space="preserve">4.1 </w:t>
      </w:r>
      <w:r>
        <w:rPr>
          <w:rFonts w:hint="eastAsia"/>
          <w:b/>
          <w:sz w:val="22"/>
          <w:szCs w:val="22"/>
        </w:rPr>
        <w:t>人员</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5.1</w:t>
      </w:r>
    </w:p>
    <w:p>
      <w:pPr>
        <w:widowControl/>
        <w:spacing w:beforeLines="50" w:afterLines="50" w:line="360" w:lineRule="auto"/>
        <w:ind w:firstLine="440" w:firstLineChars="200"/>
        <w:contextualSpacing/>
        <w:jc w:val="left"/>
        <w:rPr>
          <w:color w:val="000000"/>
          <w:sz w:val="22"/>
          <w:szCs w:val="22"/>
        </w:rPr>
      </w:pPr>
      <w:r>
        <w:rPr>
          <w:rFonts w:hint="eastAsia"/>
          <w:color w:val="000000"/>
          <w:sz w:val="22"/>
          <w:szCs w:val="22"/>
        </w:rPr>
        <w:t>5.1.1 应接受清洁消毒岗位的专业培训。</w:t>
      </w:r>
    </w:p>
    <w:p>
      <w:pPr>
        <w:widowControl/>
        <w:spacing w:beforeLines="50" w:afterLines="50" w:line="360" w:lineRule="auto"/>
        <w:ind w:firstLine="440" w:firstLineChars="200"/>
        <w:contextualSpacing/>
        <w:jc w:val="left"/>
        <w:rPr>
          <w:bCs/>
          <w:color w:val="000000"/>
          <w:sz w:val="22"/>
          <w:szCs w:val="22"/>
        </w:rPr>
      </w:pPr>
      <w:r>
        <w:rPr>
          <w:rFonts w:hint="eastAsia"/>
          <w:color w:val="000000"/>
          <w:sz w:val="22"/>
          <w:szCs w:val="22"/>
        </w:rPr>
        <w:t>5.1.2 应取得健康证。</w:t>
      </w:r>
    </w:p>
    <w:p>
      <w:pPr>
        <w:spacing w:line="360" w:lineRule="auto"/>
        <w:ind w:firstLine="420"/>
        <w:rPr>
          <w:b/>
          <w:bCs/>
          <w:sz w:val="22"/>
          <w:szCs w:val="22"/>
        </w:rPr>
      </w:pPr>
      <w:r>
        <w:rPr>
          <w:rFonts w:hint="eastAsia"/>
          <w:b/>
          <w:sz w:val="22"/>
          <w:szCs w:val="22"/>
        </w:rPr>
        <w:t>理由及依据：</w:t>
      </w:r>
    </w:p>
    <w:p>
      <w:pPr>
        <w:autoSpaceDE w:val="0"/>
        <w:autoSpaceDN w:val="0"/>
        <w:spacing w:line="360" w:lineRule="auto"/>
        <w:ind w:firstLine="420"/>
        <w:rPr>
          <w:color w:val="000000"/>
          <w:sz w:val="22"/>
          <w:szCs w:val="22"/>
        </w:rPr>
      </w:pPr>
      <w:r>
        <w:rPr>
          <w:rFonts w:hint="eastAsia"/>
          <w:kern w:val="0"/>
          <w:sz w:val="22"/>
          <w:szCs w:val="22"/>
        </w:rPr>
        <w:t>生乳是乳制品的原料，属于初级农产品。为保障食品安全，按照《食品安全法（2015版）》的规定，食品从业人员（本文件对应为奶畜场挤奶及储奶设备清洗消毒人员）需取得健康证后才能上岗。此外GB 14881-2013《食品安全国家标准 食品生产通用卫生规范》中“6.3 食品加工人员健康管理与卫生要求”也指出，食品加工人员每年应进行健康检查，取得健康证明；上岗前应接受专业相关培训。因此，本文件规定挤奶及储奶设备清洗消毒人员</w:t>
      </w:r>
      <w:r>
        <w:rPr>
          <w:rFonts w:hint="eastAsia"/>
          <w:color w:val="000000"/>
          <w:sz w:val="22"/>
          <w:szCs w:val="22"/>
        </w:rPr>
        <w:t>应取得健康证，同时应接受清洁消毒岗位的专业培训。</w:t>
      </w:r>
    </w:p>
    <w:p>
      <w:pPr>
        <w:spacing w:line="360" w:lineRule="auto"/>
        <w:ind w:firstLine="420"/>
        <w:rPr>
          <w:b/>
          <w:sz w:val="22"/>
          <w:szCs w:val="22"/>
        </w:rPr>
      </w:pPr>
      <w:r>
        <w:rPr>
          <w:b/>
          <w:sz w:val="22"/>
          <w:szCs w:val="22"/>
        </w:rPr>
        <w:t xml:space="preserve">4.2 </w:t>
      </w:r>
      <w:r>
        <w:rPr>
          <w:rFonts w:hint="eastAsia"/>
          <w:b/>
          <w:sz w:val="22"/>
          <w:szCs w:val="22"/>
        </w:rPr>
        <w:t>场所</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5.2</w:t>
      </w:r>
    </w:p>
    <w:p>
      <w:pPr>
        <w:widowControl/>
        <w:spacing w:beforeLines="50" w:afterLines="50" w:line="360" w:lineRule="auto"/>
        <w:ind w:firstLine="440" w:firstLineChars="200"/>
        <w:contextualSpacing/>
        <w:jc w:val="left"/>
        <w:rPr>
          <w:bCs/>
          <w:color w:val="000000"/>
          <w:sz w:val="22"/>
          <w:szCs w:val="22"/>
        </w:rPr>
      </w:pPr>
      <w:r>
        <w:rPr>
          <w:rFonts w:hint="eastAsia"/>
          <w:bCs/>
          <w:color w:val="000000"/>
          <w:sz w:val="22"/>
          <w:szCs w:val="22"/>
        </w:rPr>
        <w:t>5.2.1 挤奶和储奶设备区域应分开。</w:t>
      </w:r>
    </w:p>
    <w:p>
      <w:pPr>
        <w:widowControl/>
        <w:spacing w:beforeLines="50" w:afterLines="50" w:line="360" w:lineRule="auto"/>
        <w:ind w:firstLine="440" w:firstLineChars="200"/>
        <w:contextualSpacing/>
        <w:jc w:val="left"/>
        <w:rPr>
          <w:bCs/>
          <w:color w:val="000000"/>
          <w:sz w:val="22"/>
          <w:szCs w:val="22"/>
        </w:rPr>
      </w:pPr>
      <w:r>
        <w:rPr>
          <w:rFonts w:hint="eastAsia"/>
          <w:bCs/>
          <w:color w:val="000000"/>
          <w:sz w:val="22"/>
          <w:szCs w:val="22"/>
        </w:rPr>
        <w:t>5.2.2 应设置专门区域安放化学试剂清洗液和消毒剂，并进行标识。</w:t>
      </w:r>
    </w:p>
    <w:p>
      <w:pPr>
        <w:widowControl/>
        <w:spacing w:beforeLines="50" w:afterLines="50" w:line="360" w:lineRule="auto"/>
        <w:ind w:firstLine="440" w:firstLineChars="200"/>
        <w:contextualSpacing/>
        <w:jc w:val="left"/>
        <w:rPr>
          <w:bCs/>
          <w:color w:val="000000"/>
          <w:sz w:val="22"/>
          <w:szCs w:val="22"/>
        </w:rPr>
      </w:pPr>
      <w:r>
        <w:rPr>
          <w:rFonts w:hint="eastAsia"/>
          <w:bCs/>
          <w:color w:val="000000"/>
          <w:sz w:val="22"/>
          <w:szCs w:val="22"/>
        </w:rPr>
        <w:t>5.2.3 使用的器具清洗消毒后应妥善存放，沥干水分。</w:t>
      </w:r>
    </w:p>
    <w:p>
      <w:pPr>
        <w:spacing w:line="360" w:lineRule="auto"/>
        <w:ind w:firstLine="420"/>
        <w:rPr>
          <w:b/>
          <w:bCs/>
          <w:sz w:val="22"/>
          <w:szCs w:val="22"/>
        </w:rPr>
      </w:pPr>
      <w:r>
        <w:rPr>
          <w:rFonts w:hint="eastAsia"/>
          <w:b/>
          <w:sz w:val="22"/>
          <w:szCs w:val="22"/>
        </w:rPr>
        <w:t>理由及依据：</w:t>
      </w:r>
    </w:p>
    <w:p>
      <w:pPr>
        <w:widowControl/>
        <w:spacing w:beforeLines="50" w:afterLines="50" w:line="360" w:lineRule="auto"/>
        <w:ind w:firstLine="440" w:firstLineChars="200"/>
        <w:contextualSpacing/>
        <w:jc w:val="left"/>
        <w:rPr>
          <w:bCs/>
          <w:color w:val="000000"/>
          <w:sz w:val="22"/>
          <w:szCs w:val="22"/>
        </w:rPr>
      </w:pPr>
      <w:r>
        <w:rPr>
          <w:rFonts w:hint="eastAsia"/>
          <w:color w:val="000000"/>
          <w:sz w:val="22"/>
          <w:szCs w:val="22"/>
        </w:rPr>
        <w:t>奶畜养殖场</w:t>
      </w:r>
      <w:r>
        <w:rPr>
          <w:rFonts w:hint="eastAsia"/>
          <w:sz w:val="22"/>
          <w:szCs w:val="22"/>
        </w:rPr>
        <w:t>应分别设有存放挤奶和储奶设备特定的场所或区域，盛奶的容器用具等宜存放于贮奶间，挤奶间不宜存放容器用具。储奶间应处于牧场的上风向，应远离堆粪棚、氧化塘和青贮饲料存储区域。贮奶间不应放置酸液、碱液等化学品和其他有气味的设备设施，门、窗应装配完整、严密，通风良好，宜强制通风，同时下水道应保持通畅，清洁无异味，无其他废弃物流入或浊气逸出。此外，</w:t>
      </w:r>
      <w:r>
        <w:rPr>
          <w:rFonts w:hint="eastAsia"/>
          <w:bCs/>
          <w:color w:val="000000"/>
          <w:sz w:val="22"/>
          <w:szCs w:val="22"/>
        </w:rPr>
        <w:t>从安全考量来看，应设置化学试剂清洗液和消毒剂存放的专门区域，明确标识试剂的相关信息。</w:t>
      </w:r>
    </w:p>
    <w:p>
      <w:pPr>
        <w:widowControl/>
        <w:spacing w:beforeLines="50" w:afterLines="50" w:line="360" w:lineRule="auto"/>
        <w:ind w:firstLine="440" w:firstLineChars="200"/>
        <w:contextualSpacing/>
        <w:jc w:val="left"/>
        <w:rPr>
          <w:sz w:val="22"/>
          <w:szCs w:val="22"/>
        </w:rPr>
      </w:pPr>
      <w:r>
        <w:rPr>
          <w:rFonts w:hint="eastAsia"/>
          <w:sz w:val="22"/>
          <w:szCs w:val="22"/>
        </w:rPr>
        <w:t>如果清洗消毒后的容器设备存储不当，极易造成污染，从而进一步污染存放其中的生乳。因此要求用于处理、储藏生乳的容器、用具和器械清洗消毒后应妥善存放，完全沥干水分，并避免受到污染。对清洗后的挤奶及储奶设备要求在清洗消毒后排尽并沥干，环境需要清洁、干燥，避免其受到污染。</w:t>
      </w:r>
    </w:p>
    <w:p>
      <w:pPr>
        <w:spacing w:line="360" w:lineRule="auto"/>
        <w:ind w:firstLine="420"/>
        <w:rPr>
          <w:b/>
          <w:sz w:val="22"/>
          <w:szCs w:val="22"/>
        </w:rPr>
      </w:pPr>
      <w:r>
        <w:rPr>
          <w:b/>
          <w:sz w:val="22"/>
          <w:szCs w:val="22"/>
        </w:rPr>
        <w:t xml:space="preserve">4.3 </w:t>
      </w:r>
      <w:r>
        <w:rPr>
          <w:rFonts w:hint="eastAsia"/>
          <w:b/>
          <w:sz w:val="22"/>
          <w:szCs w:val="22"/>
        </w:rPr>
        <w:t>挤奶及储奶设备</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5.3</w:t>
      </w:r>
    </w:p>
    <w:p>
      <w:pPr>
        <w:spacing w:line="360" w:lineRule="auto"/>
        <w:ind w:firstLine="420"/>
        <w:rPr>
          <w:sz w:val="22"/>
          <w:szCs w:val="22"/>
        </w:rPr>
      </w:pPr>
      <w:r>
        <w:rPr>
          <w:rFonts w:hint="eastAsia"/>
          <w:sz w:val="22"/>
          <w:szCs w:val="22"/>
        </w:rPr>
        <w:t>5.3.1 挤奶及储奶设备应定期保养。</w:t>
      </w:r>
    </w:p>
    <w:p>
      <w:pPr>
        <w:spacing w:line="360" w:lineRule="auto"/>
        <w:ind w:firstLine="420"/>
        <w:rPr>
          <w:sz w:val="22"/>
          <w:szCs w:val="22"/>
        </w:rPr>
      </w:pPr>
      <w:r>
        <w:rPr>
          <w:rFonts w:hint="eastAsia"/>
          <w:sz w:val="22"/>
          <w:szCs w:val="22"/>
        </w:rPr>
        <w:t>5.3.2 挤奶及储奶设备材质应符合光滑、非吸湿性、抗腐蚀、无毒要求。</w:t>
      </w:r>
    </w:p>
    <w:p>
      <w:pPr>
        <w:spacing w:line="360" w:lineRule="auto"/>
        <w:ind w:firstLine="420"/>
        <w:rPr>
          <w:sz w:val="22"/>
          <w:szCs w:val="22"/>
        </w:rPr>
      </w:pPr>
      <w:r>
        <w:rPr>
          <w:rFonts w:hint="eastAsia"/>
          <w:sz w:val="22"/>
          <w:szCs w:val="22"/>
        </w:rPr>
        <w:t>5.3.3挤奶设备结构和性能应符合GB/T 8186的规定；储奶罐应符合GB/T 13879的规定。</w:t>
      </w:r>
    </w:p>
    <w:p>
      <w:pPr>
        <w:spacing w:line="360" w:lineRule="auto"/>
        <w:ind w:firstLine="420"/>
        <w:rPr>
          <w:sz w:val="22"/>
          <w:szCs w:val="22"/>
        </w:rPr>
      </w:pPr>
      <w:r>
        <w:rPr>
          <w:rFonts w:hint="eastAsia"/>
          <w:sz w:val="22"/>
          <w:szCs w:val="22"/>
        </w:rPr>
        <w:t>5.3.4 储奶设备可兼用生乳运输设备，应保温隔热，内设搅拌装置。</w:t>
      </w:r>
    </w:p>
    <w:p>
      <w:pPr>
        <w:spacing w:line="360" w:lineRule="auto"/>
        <w:ind w:firstLine="420"/>
        <w:rPr>
          <w:b/>
          <w:bCs/>
          <w:sz w:val="22"/>
          <w:szCs w:val="22"/>
        </w:rPr>
      </w:pPr>
      <w:r>
        <w:rPr>
          <w:rFonts w:hint="eastAsia"/>
          <w:b/>
          <w:bCs/>
          <w:sz w:val="22"/>
          <w:szCs w:val="22"/>
        </w:rPr>
        <w:t>理由及依据：</w:t>
      </w:r>
    </w:p>
    <w:p>
      <w:pPr>
        <w:spacing w:line="360" w:lineRule="auto"/>
        <w:ind w:firstLine="440" w:firstLineChars="200"/>
        <w:rPr>
          <w:rFonts w:ascii="宋体" w:hAnsi="宋体" w:cs="宋体"/>
          <w:sz w:val="22"/>
          <w:szCs w:val="22"/>
        </w:rPr>
      </w:pPr>
      <w:r>
        <w:rPr>
          <w:rFonts w:hint="eastAsia"/>
          <w:sz w:val="22"/>
          <w:szCs w:val="22"/>
        </w:rPr>
        <w:t>挤奶及储奶设备如果不光滑，不易清洁，表面不易接触到，不使用耐用、耐腐蚀材料制作的话，都极易藏污纳垢，成为有害细菌滋生的温床，破坏生奶的贮藏，所以材质也是奶垢清洗能否彻底的关键因素之一。目前国际上储奶设备材质主要采用不锈钢，例如美国要求接触奶的容器使用美国钢铁学会300系列的不锈钢制作。在我国，根据GB 4806.9《食品安全国家标准 食品接触用金属材料及制品》中的要求，金属材料及制品中食品接触面使用的金属基材、金属镀层和焊接材料不应对人体健康造成危害；同时不锈钢食具容器及食品生产经营工具、设备的主体部分应选用奥氏体型不锈钢、奥氏体·铁素体型不锈钢、铁素体型不锈钢等不锈钢材料；不锈钢餐具和食品生产机械设备的钻磨工具等的主体部分也可采用马氏体型不锈钢材料，同时在国标GB 4806.9中也具体规定了不锈钢的迁移物的指标要求。我国奶畜养殖场中挤奶及贮奶设备一般应选用奥氏体型不锈钢或符合国家规定的相关材质，且保证与生乳直接接触的任何管道、连接件、泵、橡胶件等设施设备应使用食品级材质，</w:t>
      </w:r>
      <w:r>
        <w:rPr>
          <w:rFonts w:hint="eastAsia" w:cs="宋体"/>
          <w:sz w:val="22"/>
          <w:szCs w:val="22"/>
        </w:rPr>
        <w:t>挤奶及储奶设备</w:t>
      </w:r>
      <w:r>
        <w:rPr>
          <w:rFonts w:hint="eastAsia" w:ascii="宋体" w:hAnsi="宋体" w:cs="宋体"/>
          <w:sz w:val="22"/>
          <w:szCs w:val="22"/>
        </w:rPr>
        <w:t>材质应符合光滑、非吸湿性、抗腐蚀、无毒要求。</w:t>
      </w:r>
    </w:p>
    <w:p>
      <w:pPr>
        <w:spacing w:line="360" w:lineRule="auto"/>
        <w:ind w:firstLine="440" w:firstLineChars="200"/>
        <w:rPr>
          <w:sz w:val="22"/>
          <w:szCs w:val="22"/>
        </w:rPr>
      </w:pPr>
      <w:r>
        <w:rPr>
          <w:rFonts w:hint="eastAsia"/>
          <w:sz w:val="22"/>
          <w:szCs w:val="22"/>
        </w:rPr>
        <w:t>在挤奶及储奶设备的结构性能方面，一般要求</w:t>
      </w:r>
      <w:r>
        <w:rPr>
          <w:rFonts w:hint="eastAsia" w:cs="宋体"/>
          <w:sz w:val="22"/>
          <w:szCs w:val="22"/>
        </w:rPr>
        <w:t>挤奶设备结构和性能应符合GB/T 8186《</w:t>
      </w:r>
      <w:r>
        <w:rPr>
          <w:rFonts w:hint="eastAsia"/>
          <w:sz w:val="22"/>
          <w:szCs w:val="22"/>
        </w:rPr>
        <w:t>挤奶设备 结构与性能</w:t>
      </w:r>
      <w:r>
        <w:rPr>
          <w:rFonts w:hint="eastAsia" w:cs="宋体"/>
          <w:sz w:val="22"/>
          <w:szCs w:val="22"/>
        </w:rPr>
        <w:t>》的规定；</w:t>
      </w:r>
      <w:r>
        <w:rPr>
          <w:rFonts w:hint="eastAsia" w:ascii="宋体" w:hAnsi="宋体" w:cs="宋体"/>
          <w:sz w:val="22"/>
          <w:szCs w:val="22"/>
        </w:rPr>
        <w:t>储奶罐</w:t>
      </w:r>
      <w:r>
        <w:rPr>
          <w:rFonts w:hint="eastAsia" w:cs="宋体"/>
          <w:sz w:val="22"/>
          <w:szCs w:val="22"/>
        </w:rPr>
        <w:t>应符合</w:t>
      </w:r>
      <w:r>
        <w:rPr>
          <w:rFonts w:cs="宋体"/>
          <w:sz w:val="22"/>
          <w:szCs w:val="22"/>
        </w:rPr>
        <w:t>GB/T 13879</w:t>
      </w:r>
      <w:r>
        <w:rPr>
          <w:rFonts w:hint="eastAsia" w:cs="宋体"/>
          <w:sz w:val="22"/>
          <w:szCs w:val="22"/>
        </w:rPr>
        <w:t>《贮奶罐》</w:t>
      </w:r>
      <w:r>
        <w:rPr>
          <w:rFonts w:cs="宋体"/>
          <w:sz w:val="22"/>
          <w:szCs w:val="22"/>
        </w:rPr>
        <w:t>的规定</w:t>
      </w:r>
      <w:r>
        <w:rPr>
          <w:rFonts w:hint="eastAsia"/>
          <w:sz w:val="22"/>
          <w:szCs w:val="22"/>
        </w:rPr>
        <w:t>。此外，储奶罐可兼用生乳运输设备应保温隔热、防腐蚀、便于清洗，内设搅拌装置。储奶罐清洗过程通常使用水洗，“光滑、抗腐蚀”等要求可以避免管路中出现坑洞、不规则造成的清洗死角。“保温、密封”可以保障清洗时的温度要求。“搅拌装置”可增强清洗效果。</w:t>
      </w:r>
    </w:p>
    <w:p>
      <w:pPr>
        <w:spacing w:line="360" w:lineRule="auto"/>
        <w:ind w:firstLine="440" w:firstLineChars="200"/>
        <w:rPr>
          <w:sz w:val="22"/>
          <w:szCs w:val="22"/>
        </w:rPr>
      </w:pPr>
      <w:r>
        <w:rPr>
          <w:rFonts w:hint="eastAsia"/>
          <w:sz w:val="22"/>
          <w:szCs w:val="22"/>
        </w:rPr>
        <w:t>连续化作业过程中，生乳离开牛体及暂存容器后会较快的进入运输装置，运往加工厂。运输装置中一般配备1个到多个储奶设备。故而储奶罐被允许与生乳运输设备兼用。运输设备的储奶罐同样要求保温隔热、防腐蚀、便于清洗，内设搅拌装置。</w:t>
      </w:r>
    </w:p>
    <w:p>
      <w:pPr>
        <w:widowControl/>
        <w:spacing w:line="360" w:lineRule="auto"/>
        <w:ind w:firstLine="440" w:firstLineChars="200"/>
        <w:jc w:val="left"/>
        <w:rPr>
          <w:kern w:val="0"/>
          <w:sz w:val="22"/>
          <w:szCs w:val="22"/>
        </w:rPr>
      </w:pPr>
      <w:r>
        <w:rPr>
          <w:rFonts w:hint="eastAsia"/>
          <w:sz w:val="22"/>
          <w:szCs w:val="22"/>
        </w:rPr>
        <w:t>此外，应注意挤奶管道、运输管道、储奶罐等与生乳接触的设备设施，在新安装或是改造后，应对与生乳接触的内管壁进行检查，焊接点、内壁、弯道连接处等应无毛刺、无凸点、无凹点。</w:t>
      </w:r>
    </w:p>
    <w:p>
      <w:pPr>
        <w:widowControl/>
        <w:shd w:val="clear" w:color="auto" w:fill="FFFFFF"/>
        <w:spacing w:before="156" w:after="156" w:line="360" w:lineRule="auto"/>
        <w:ind w:firstLine="420" w:firstLineChars="200"/>
        <w:jc w:val="left"/>
        <w:rPr>
          <w:rFonts w:ascii="宋体" w:hAnsi="宋体" w:cs="宋体"/>
          <w:sz w:val="24"/>
        </w:rPr>
      </w:pPr>
      <w:r>
        <w:rPr>
          <w:kern w:val="0"/>
          <w:szCs w:val="21"/>
        </w:rPr>
        <w:drawing>
          <wp:anchor distT="0" distB="0" distL="114300" distR="114300" simplePos="0" relativeHeight="251659264" behindDoc="0" locked="0" layoutInCell="1" allowOverlap="1">
            <wp:simplePos x="0" y="0"/>
            <wp:positionH relativeFrom="column">
              <wp:posOffset>19050</wp:posOffset>
            </wp:positionH>
            <wp:positionV relativeFrom="paragraph">
              <wp:posOffset>120015</wp:posOffset>
            </wp:positionV>
            <wp:extent cx="2431415" cy="1802765"/>
            <wp:effectExtent l="0" t="0" r="6985" b="6985"/>
            <wp:wrapSquare wrapText="bothSides"/>
            <wp:docPr id="13" name="图片 3" descr="C:\Users\zhengnan\AppData\Local\Temp\WeChat Files\69008273827354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C:\Users\zhengnan\AppData\Local\Temp\WeChat Files\69008273827354461.jpg"/>
                    <pic:cNvPicPr>
                      <a:picLocks noChangeAspect="1" noChangeArrowheads="1"/>
                    </pic:cNvPicPr>
                  </pic:nvPicPr>
                  <pic:blipFill>
                    <a:blip r:embed="rId7" cstate="print"/>
                    <a:srcRect/>
                    <a:stretch>
                      <a:fillRect/>
                    </a:stretch>
                  </pic:blipFill>
                  <pic:spPr>
                    <a:xfrm>
                      <a:off x="0" y="0"/>
                      <a:ext cx="2431415" cy="1802765"/>
                    </a:xfrm>
                    <a:prstGeom prst="rect">
                      <a:avLst/>
                    </a:prstGeom>
                    <a:noFill/>
                    <a:ln w="9525">
                      <a:noFill/>
                      <a:miter lim="800000"/>
                      <a:headEnd/>
                      <a:tailEnd/>
                    </a:ln>
                  </pic:spPr>
                </pic:pic>
              </a:graphicData>
            </a:graphic>
          </wp:anchor>
        </w:drawing>
      </w:r>
      <w:r>
        <w:rPr>
          <w:rFonts w:hint="eastAsia"/>
          <w:kern w:val="0"/>
          <w:szCs w:val="21"/>
        </w:rPr>
        <w:t xml:space="preserve"> </w:t>
      </w:r>
      <w:r>
        <w:rPr>
          <w:kern w:val="0"/>
          <w:szCs w:val="21"/>
        </w:rPr>
        <w:drawing>
          <wp:inline distT="0" distB="0" distL="0" distR="0">
            <wp:extent cx="2335530" cy="1743075"/>
            <wp:effectExtent l="0" t="0" r="7620" b="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noChangeArrowheads="1"/>
                    </pic:cNvPicPr>
                  </pic:nvPicPr>
                  <pic:blipFill>
                    <a:blip r:embed="rId8" cstate="print"/>
                    <a:srcRect/>
                    <a:stretch>
                      <a:fillRect/>
                    </a:stretch>
                  </pic:blipFill>
                  <pic:spPr>
                    <a:xfrm>
                      <a:off x="0" y="0"/>
                      <a:ext cx="2335530" cy="1743075"/>
                    </a:xfrm>
                    <a:prstGeom prst="rect">
                      <a:avLst/>
                    </a:prstGeom>
                    <a:noFill/>
                    <a:ln w="9525">
                      <a:noFill/>
                      <a:miter lim="800000"/>
                      <a:headEnd/>
                      <a:tailEn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图2 输送奶管道焊接处检查</w:t>
      </w:r>
    </w:p>
    <w:p>
      <w:pPr>
        <w:spacing w:line="360" w:lineRule="auto"/>
        <w:ind w:firstLine="420"/>
        <w:rPr>
          <w:b/>
          <w:sz w:val="22"/>
          <w:szCs w:val="22"/>
        </w:rPr>
      </w:pPr>
      <w:r>
        <w:rPr>
          <w:b/>
          <w:sz w:val="22"/>
          <w:szCs w:val="22"/>
        </w:rPr>
        <w:t xml:space="preserve">4.4 </w:t>
      </w:r>
      <w:r>
        <w:rPr>
          <w:rFonts w:hint="eastAsia"/>
          <w:b/>
          <w:sz w:val="22"/>
          <w:szCs w:val="22"/>
        </w:rPr>
        <w:t>水</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5.4</w:t>
      </w:r>
    </w:p>
    <w:p>
      <w:pPr>
        <w:spacing w:line="360" w:lineRule="auto"/>
        <w:ind w:firstLine="420"/>
        <w:rPr>
          <w:sz w:val="22"/>
          <w:szCs w:val="22"/>
        </w:rPr>
      </w:pPr>
      <w:r>
        <w:rPr>
          <w:rFonts w:hint="eastAsia"/>
          <w:sz w:val="22"/>
          <w:szCs w:val="22"/>
        </w:rPr>
        <w:t>应符合GB 5749的规定。</w:t>
      </w:r>
    </w:p>
    <w:p>
      <w:pPr>
        <w:spacing w:line="360" w:lineRule="auto"/>
        <w:ind w:firstLine="420"/>
        <w:rPr>
          <w:b/>
          <w:bCs/>
          <w:sz w:val="22"/>
          <w:szCs w:val="22"/>
        </w:rPr>
      </w:pPr>
      <w:r>
        <w:rPr>
          <w:rFonts w:hint="eastAsia"/>
          <w:b/>
          <w:sz w:val="22"/>
          <w:szCs w:val="22"/>
        </w:rPr>
        <w:t>理由及依据：</w:t>
      </w:r>
    </w:p>
    <w:p>
      <w:pPr>
        <w:spacing w:line="360" w:lineRule="auto"/>
        <w:ind w:firstLine="440" w:firstLineChars="200"/>
        <w:rPr>
          <w:sz w:val="22"/>
          <w:szCs w:val="22"/>
        </w:rPr>
      </w:pPr>
      <w:r>
        <w:rPr>
          <w:rFonts w:hint="eastAsia"/>
          <w:sz w:val="22"/>
          <w:szCs w:val="22"/>
        </w:rPr>
        <w:t>牧场挤奶及贮奶设备清洗消毒过程中所用水应符合国家标准GB 5749《生活饮用水卫生标准》的要求。供应的水必须充足，这样清洗才能彻底，水必须安全卫生，以避免挤奶用具的污染。由于牛奶营养物质丰富，容易腐败滋生细菌，加上牛场挤奶环节容易被粪便污水污染，如果供应的水是被污染的水，用其清洗挤奶用具和贮奶容器的清洗而造成的污染更危险，因此奶中微生物繁殖更快。GB 5749要求水中不得含有致病性微生物，大肠菌群等不得检出。因此用于清洗消毒贮奶、挤奶设备的水，必须符合GB 5749的要求，水必须容易获取，应无肉眼可见变化颜色、新鲜、无异味，供水充足、安全、卫生。</w:t>
      </w:r>
    </w:p>
    <w:p>
      <w:pPr>
        <w:spacing w:line="360" w:lineRule="auto"/>
        <w:ind w:firstLine="420"/>
        <w:rPr>
          <w:b/>
          <w:sz w:val="22"/>
          <w:szCs w:val="22"/>
        </w:rPr>
      </w:pPr>
      <w:r>
        <w:rPr>
          <w:b/>
          <w:sz w:val="22"/>
          <w:szCs w:val="22"/>
        </w:rPr>
        <w:t xml:space="preserve">4.4 </w:t>
      </w:r>
      <w:r>
        <w:rPr>
          <w:rFonts w:hint="eastAsia"/>
          <w:b/>
          <w:sz w:val="22"/>
          <w:szCs w:val="22"/>
        </w:rPr>
        <w:t>清洗剂和消毒剂</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5.5</w:t>
      </w:r>
    </w:p>
    <w:p>
      <w:pPr>
        <w:spacing w:line="360" w:lineRule="auto"/>
        <w:ind w:firstLine="420"/>
        <w:rPr>
          <w:sz w:val="22"/>
          <w:szCs w:val="22"/>
        </w:rPr>
      </w:pPr>
      <w:r>
        <w:rPr>
          <w:rFonts w:hint="eastAsia"/>
          <w:sz w:val="22"/>
          <w:szCs w:val="22"/>
        </w:rPr>
        <w:t>应选用食品级碱性和酸性清洗剂。清洗剂应符合GB 14930.1的规定；消毒剂应符合GB 14930.2的规定。</w:t>
      </w:r>
    </w:p>
    <w:p>
      <w:pPr>
        <w:spacing w:line="360" w:lineRule="auto"/>
        <w:ind w:firstLine="420"/>
        <w:rPr>
          <w:b/>
          <w:bCs/>
          <w:sz w:val="22"/>
          <w:szCs w:val="22"/>
        </w:rPr>
      </w:pPr>
      <w:r>
        <w:rPr>
          <w:rFonts w:hint="eastAsia"/>
          <w:b/>
          <w:bCs/>
          <w:sz w:val="22"/>
          <w:szCs w:val="22"/>
        </w:rPr>
        <w:t>理由及依据：</w:t>
      </w:r>
    </w:p>
    <w:p>
      <w:pPr>
        <w:autoSpaceDE w:val="0"/>
        <w:autoSpaceDN w:val="0"/>
        <w:spacing w:line="360" w:lineRule="auto"/>
        <w:ind w:firstLine="420"/>
        <w:rPr>
          <w:color w:val="000000"/>
          <w:sz w:val="22"/>
          <w:szCs w:val="22"/>
        </w:rPr>
      </w:pPr>
      <w:r>
        <w:rPr>
          <w:rFonts w:hint="eastAsia"/>
          <w:color w:val="000000"/>
          <w:sz w:val="22"/>
          <w:szCs w:val="22"/>
        </w:rPr>
        <w:t>对应用在乳品生产设备的清洗剂和消毒剂的应用性能、安全性能等进行评估不仅关系到清洗消毒的效果和成本，而且关系到清洗消毒过程的安全。本章节主要对清洗剂提出了要求和规定。</w:t>
      </w:r>
    </w:p>
    <w:p>
      <w:pPr>
        <w:autoSpaceDE w:val="0"/>
        <w:autoSpaceDN w:val="0"/>
        <w:spacing w:line="360" w:lineRule="auto"/>
        <w:ind w:firstLine="420"/>
        <w:rPr>
          <w:kern w:val="0"/>
          <w:sz w:val="22"/>
          <w:szCs w:val="22"/>
        </w:rPr>
      </w:pPr>
      <w:r>
        <w:rPr>
          <w:rFonts w:hint="eastAsia"/>
          <w:kern w:val="0"/>
          <w:sz w:val="22"/>
          <w:szCs w:val="22"/>
        </w:rPr>
        <w:t>清洗剂的要求。清洗剂的主要作用是在冲洗过程中让奶渍松动并悬浮起来易于清除。清洗剂的另一个重要作用是防止阳性离子（如Ca</w:t>
      </w:r>
      <w:r>
        <w:rPr>
          <w:rFonts w:hint="eastAsia"/>
          <w:kern w:val="0"/>
          <w:sz w:val="22"/>
          <w:szCs w:val="22"/>
          <w:vertAlign w:val="superscript"/>
        </w:rPr>
        <w:t>2+</w:t>
      </w:r>
      <w:r>
        <w:rPr>
          <w:rFonts w:hint="eastAsia"/>
          <w:kern w:val="0"/>
          <w:sz w:val="22"/>
          <w:szCs w:val="22"/>
        </w:rPr>
        <w:t>、Mg</w:t>
      </w:r>
      <w:r>
        <w:rPr>
          <w:rFonts w:hint="eastAsia"/>
          <w:kern w:val="0"/>
          <w:sz w:val="22"/>
          <w:szCs w:val="22"/>
          <w:vertAlign w:val="superscript"/>
        </w:rPr>
        <w:t>2+</w:t>
      </w:r>
      <w:r>
        <w:rPr>
          <w:rFonts w:hint="eastAsia"/>
          <w:kern w:val="0"/>
          <w:sz w:val="22"/>
          <w:szCs w:val="22"/>
        </w:rPr>
        <w:t>）形成奶垢。目前应用于食品工业的清洗剂种类繁多，但依据成分组成情况，清洗剂可以基本分为单一组分的酸性清洗剂、单一组分的碱性清洗剂、复合碱性清洗剂和复合酸性清洗剂。单一组分的酸性清洗剂一般采用硝酸、乳酸、柠檬酸等；单一组分的碱性清洗剂一般采用氢氧化钠；复合碱性清洗剂和复合酸性清洗剂是在单一组分的酸、碱清洗剂的基础上添加螯合剂、杀菌剂、表面活性剂等成分。</w:t>
      </w:r>
    </w:p>
    <w:p>
      <w:pPr>
        <w:autoSpaceDE w:val="0"/>
        <w:autoSpaceDN w:val="0"/>
        <w:spacing w:line="360" w:lineRule="auto"/>
        <w:ind w:firstLine="420"/>
        <w:rPr>
          <w:kern w:val="0"/>
          <w:sz w:val="22"/>
          <w:szCs w:val="22"/>
        </w:rPr>
      </w:pPr>
      <w:r>
        <w:rPr>
          <w:rFonts w:hint="eastAsia"/>
          <w:kern w:val="0"/>
          <w:sz w:val="22"/>
          <w:szCs w:val="22"/>
        </w:rPr>
        <w:t>牧场常用的清洗剂就是碱性清洗剂和酸性清洗剂。清洗剂的浓度需要合理控制，浓度过大时，不但成本上升，其清洗效果反而不佳。例如：碱洗时要求碱液pH在11.5～12.0之间，pH过低不能有效地去除蛋白质和脂类，pH过高会对管道内的橡胶垫圈和奶衬产生腐蚀作用；而酸洗时确保pH在2.0～3.0之间，酸性过低不利于去除难溶物质，酸性过高会腐蚀挤奶管道。</w:t>
      </w:r>
    </w:p>
    <w:p>
      <w:pPr>
        <w:autoSpaceDE w:val="0"/>
        <w:autoSpaceDN w:val="0"/>
        <w:spacing w:line="360" w:lineRule="auto"/>
        <w:ind w:firstLine="420"/>
        <w:rPr>
          <w:kern w:val="0"/>
          <w:sz w:val="22"/>
          <w:szCs w:val="22"/>
        </w:rPr>
      </w:pPr>
      <w:r>
        <w:rPr>
          <w:rFonts w:hint="eastAsia"/>
          <w:kern w:val="0"/>
          <w:sz w:val="22"/>
          <w:szCs w:val="22"/>
        </w:rPr>
        <w:t>消毒剂的要求。目前应用于食品行业的消毒剂种类较多，一般可分为以下几类：醇类、过氧化物类、次氯酸类、季铵盐类等。GB14930.1《食品安全国家标准 消毒剂》、卫生部《食品用消毒剂原料（成分）名单》等标准及法律法规为消毒剂的使用提供了依据，以便于企业开展消毒剂的质量控制，进而保证消毒剂的安全使用。</w:t>
      </w:r>
    </w:p>
    <w:p>
      <w:pPr>
        <w:autoSpaceDE w:val="0"/>
        <w:autoSpaceDN w:val="0"/>
        <w:spacing w:line="360" w:lineRule="auto"/>
        <w:ind w:firstLine="420"/>
        <w:rPr>
          <w:kern w:val="0"/>
          <w:sz w:val="22"/>
          <w:szCs w:val="22"/>
        </w:rPr>
      </w:pPr>
      <w:r>
        <w:rPr>
          <w:rFonts w:hint="eastAsia"/>
          <w:kern w:val="0"/>
          <w:sz w:val="22"/>
          <w:szCs w:val="22"/>
        </w:rPr>
        <w:t>本章节参阅GB 14930.1《食品安全国家标准 洗涤剂》和GB 14930.2《食品安全国家标准 消毒剂》中对于清洗剂、消毒剂的相关要求。GB 14930.1《食品安全国家标准 洗涤剂》中定义“食品用洗涤剂”（B类产品）是指用于清洗餐饮具以及接触食品的工具、设备、容器和食品包装材料的洗涤剂，GB 14930.2《食品安全国家标准 消毒剂》定义指出“洗涤消毒剂”是指兼有洗涤和消毒作用的制剂。因此，本文件奶畜养殖场挤奶及储奶设备清洗消毒过程中应选用食品级碱性、酸性清洗剂、消毒剂，其中清洗剂应符合GB 14930.1的规定要求；消毒剂应符合GB 14930.2的规定。奶畜养殖场一般采用的清洗剂是碱性清洗剂和酸性清洗剂，在牧场实际操作中，碱洗与酸洗搭配使用。</w:t>
      </w:r>
    </w:p>
    <w:p>
      <w:pPr>
        <w:numPr>
          <w:ilvl w:val="0"/>
          <w:numId w:val="3"/>
        </w:numPr>
        <w:spacing w:beforeLines="50" w:afterLines="50"/>
        <w:rPr>
          <w:rFonts w:ascii="黑体" w:hAnsi="黑体" w:eastAsia="黑体" w:cs="黑体"/>
          <w:bCs/>
          <w:color w:val="000000"/>
          <w:sz w:val="22"/>
          <w:szCs w:val="28"/>
        </w:rPr>
      </w:pPr>
      <w:r>
        <w:rPr>
          <w:rFonts w:hint="eastAsia" w:ascii="黑体" w:hAnsi="黑体" w:eastAsia="黑体" w:cs="黑体"/>
          <w:bCs/>
          <w:color w:val="000000"/>
          <w:sz w:val="22"/>
          <w:szCs w:val="28"/>
        </w:rPr>
        <w:t>清洗消毒操作要求</w:t>
      </w:r>
    </w:p>
    <w:p>
      <w:pPr>
        <w:snapToGrid w:val="0"/>
        <w:spacing w:line="360" w:lineRule="auto"/>
        <w:ind w:firstLine="442" w:firstLineChars="200"/>
        <w:rPr>
          <w:b/>
          <w:bCs/>
          <w:color w:val="000000"/>
          <w:sz w:val="22"/>
          <w:szCs w:val="22"/>
        </w:rPr>
      </w:pPr>
      <w:r>
        <w:rPr>
          <w:b/>
          <w:bCs/>
          <w:color w:val="000000"/>
          <w:sz w:val="22"/>
          <w:szCs w:val="22"/>
        </w:rPr>
        <w:t xml:space="preserve">5.1 </w:t>
      </w:r>
      <w:r>
        <w:rPr>
          <w:rFonts w:hint="eastAsia"/>
          <w:b/>
          <w:bCs/>
          <w:color w:val="000000"/>
          <w:sz w:val="22"/>
          <w:szCs w:val="22"/>
        </w:rPr>
        <w:t>挤奶及贮奶设备清洗原理</w:t>
      </w:r>
    </w:p>
    <w:p>
      <w:pPr>
        <w:snapToGrid w:val="0"/>
        <w:spacing w:line="360" w:lineRule="auto"/>
        <w:ind w:firstLine="442" w:firstLineChars="200"/>
        <w:rPr>
          <w:b/>
          <w:bCs w:val="0"/>
          <w:color w:val="000000"/>
          <w:sz w:val="22"/>
          <w:szCs w:val="22"/>
        </w:rPr>
      </w:pPr>
      <w:r>
        <w:rPr>
          <w:b/>
          <w:bCs w:val="0"/>
          <w:color w:val="000000"/>
          <w:sz w:val="22"/>
          <w:szCs w:val="22"/>
        </w:rPr>
        <w:t>5.1.1 奶垢的组成及清洗难易程度</w:t>
      </w:r>
    </w:p>
    <w:p>
      <w:pPr>
        <w:autoSpaceDE w:val="0"/>
        <w:autoSpaceDN w:val="0"/>
        <w:adjustRightInd w:val="0"/>
        <w:snapToGrid w:val="0"/>
        <w:spacing w:line="360" w:lineRule="auto"/>
        <w:jc w:val="left"/>
        <w:rPr>
          <w:sz w:val="22"/>
          <w:szCs w:val="22"/>
        </w:rPr>
      </w:pPr>
      <w:r>
        <w:rPr>
          <w:sz w:val="22"/>
          <w:szCs w:val="22"/>
        </w:rPr>
        <w:t xml:space="preserve">   </w:t>
      </w:r>
      <w:r>
        <w:rPr>
          <w:rFonts w:hint="eastAsia"/>
          <w:sz w:val="22"/>
          <w:szCs w:val="22"/>
        </w:rPr>
        <w:t>牛乳是一种高营养食品，含有蛋白质、脂肪、乳糖、矿物质、维生素、酶类等物质。乳制品生产过程中形成的污垢的主要成分为糖、脂肪、蛋白质及无机盐类。在不同的乳制品生产工艺中附着在设备表面的污垢类型是不同的，按照其形成过程污垢大体可分为</w:t>
      </w:r>
      <w:r>
        <w:rPr>
          <w:sz w:val="22"/>
          <w:szCs w:val="22"/>
        </w:rPr>
        <w:t>3</w:t>
      </w:r>
      <w:r>
        <w:rPr>
          <w:rFonts w:hint="eastAsia"/>
          <w:sz w:val="22"/>
          <w:szCs w:val="22"/>
        </w:rPr>
        <w:t>类：牛乳膜、乳垢和乳石。对于管路、泵、缸等“冷表面”，牛奶流经这些表面会形成牛乳膜，这种牛乳膜在生产结束时若立即清洗会很容易清除，反之则会造成牛乳膜干涸且难于清洗，从而在设备表面形成主要由蛋白质和无机物组成的乳垢。在生乳在贮存过程中，与牛乳接触的设备表面，易产生少许沉积物，即乳垢。乳垢是微生物生长繁殖的良好的培养基，容易滋生细菌。如果清洗消毒不彻底，就会影响下批次的生奶的贮存。与牛奶加工厂设备管路需要加热不同，牧场的设备管路与牛奶的接触相对简单。牧场挤奶及贮奶设备乳垢中主要的成分为脂肪、蛋白、乳糖以及矿物质，几乎没有受热结焦后的复杂化学物。其可溶性及清洗难易程度见表</w:t>
      </w:r>
      <w:r>
        <w:rPr>
          <w:sz w:val="22"/>
          <w:szCs w:val="22"/>
        </w:rPr>
        <w:t>1</w:t>
      </w:r>
      <w:r>
        <w:rPr>
          <w:rFonts w:hint="eastAsia"/>
          <w:sz w:val="22"/>
          <w:szCs w:val="22"/>
        </w:rPr>
        <w:t>。</w:t>
      </w:r>
    </w:p>
    <w:p>
      <w:pPr>
        <w:spacing w:beforeLines="50" w:afterLines="50" w:line="360" w:lineRule="auto"/>
        <w:contextualSpacing/>
        <w:jc w:val="center"/>
        <w:rPr>
          <w:rFonts w:ascii="宋体" w:hAnsi="宋体" w:cs="宋体"/>
          <w:b/>
          <w:bCs/>
          <w:sz w:val="20"/>
          <w:szCs w:val="20"/>
        </w:rPr>
      </w:pPr>
      <w:r>
        <w:rPr>
          <w:rFonts w:hint="eastAsia" w:ascii="宋体" w:hAnsi="宋体" w:cs="宋体"/>
          <w:b/>
          <w:bCs/>
          <w:sz w:val="20"/>
          <w:szCs w:val="20"/>
        </w:rPr>
        <w:t>表1 奶垢中各成分的可溶性及清洗难易程度</w:t>
      </w:r>
    </w:p>
    <w:tbl>
      <w:tblPr>
        <w:tblStyle w:val="8"/>
        <w:tblW w:w="8579" w:type="dxa"/>
        <w:tblInd w:w="0" w:type="dxa"/>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365"/>
        <w:gridCol w:w="3612"/>
        <w:gridCol w:w="3602"/>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439" w:hRule="atLeast"/>
        </w:trPr>
        <w:tc>
          <w:tcPr>
            <w:tcW w:w="1365"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成分</w:t>
            </w:r>
          </w:p>
        </w:tc>
        <w:tc>
          <w:tcPr>
            <w:tcW w:w="361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可溶性</w:t>
            </w:r>
          </w:p>
        </w:tc>
        <w:tc>
          <w:tcPr>
            <w:tcW w:w="360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清洗难易程度</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07" w:hRule="atLeast"/>
        </w:trPr>
        <w:tc>
          <w:tcPr>
            <w:tcW w:w="1365"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乳糖</w:t>
            </w:r>
          </w:p>
        </w:tc>
        <w:tc>
          <w:tcPr>
            <w:tcW w:w="361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易溶于水</w:t>
            </w:r>
          </w:p>
        </w:tc>
        <w:tc>
          <w:tcPr>
            <w:tcW w:w="360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易清洗</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465" w:hRule="atLeast"/>
        </w:trPr>
        <w:tc>
          <w:tcPr>
            <w:tcW w:w="1365"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脂肪</w:t>
            </w:r>
          </w:p>
        </w:tc>
        <w:tc>
          <w:tcPr>
            <w:tcW w:w="361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不溶于水、碱液和酸液</w:t>
            </w:r>
          </w:p>
        </w:tc>
        <w:tc>
          <w:tcPr>
            <w:tcW w:w="360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20"/>
                <w:szCs w:val="20"/>
              </w:rPr>
            </w:pPr>
            <w:r>
              <w:rPr>
                <w:rFonts w:hint="eastAsia" w:ascii="宋体" w:hAnsi="宋体" w:cs="宋体"/>
                <w:kern w:val="0"/>
                <w:sz w:val="20"/>
                <w:szCs w:val="20"/>
              </w:rPr>
              <w:t>热清洗液，易清洗</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15" w:hRule="atLeast"/>
        </w:trPr>
        <w:tc>
          <w:tcPr>
            <w:tcW w:w="1365"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蛋白质</w:t>
            </w:r>
          </w:p>
        </w:tc>
        <w:tc>
          <w:tcPr>
            <w:tcW w:w="361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难溶于水，稍溶于酸液、易溶于碱液</w:t>
            </w:r>
          </w:p>
        </w:tc>
        <w:tc>
          <w:tcPr>
            <w:tcW w:w="360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水中难清洗，碱液中较易清洗</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595" w:hRule="atLeast"/>
        </w:trPr>
        <w:tc>
          <w:tcPr>
            <w:tcW w:w="1365"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矿物质</w:t>
            </w:r>
          </w:p>
        </w:tc>
        <w:tc>
          <w:tcPr>
            <w:tcW w:w="361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大部分易溶于酸液</w:t>
            </w:r>
          </w:p>
        </w:tc>
        <w:tc>
          <w:tcPr>
            <w:tcW w:w="3602" w:type="dxa"/>
            <w:tcBorders>
              <w:top w:val="single" w:color="auto" w:sz="2" w:space="0"/>
              <w:left w:val="single" w:color="auto" w:sz="2" w:space="0"/>
              <w:bottom w:val="single" w:color="auto" w:sz="2" w:space="0"/>
              <w:right w:val="single" w:color="auto" w:sz="2" w:space="0"/>
            </w:tcBorders>
            <w:tcMar>
              <w:top w:w="0" w:type="dxa"/>
              <w:left w:w="105" w:type="dxa"/>
              <w:bottom w:w="0" w:type="dxa"/>
              <w:right w:w="105" w:type="dxa"/>
            </w:tcMar>
          </w:tcPr>
          <w:p>
            <w:pPr>
              <w:widowControl/>
              <w:wordWrap w:val="0"/>
              <w:spacing w:line="384" w:lineRule="atLeast"/>
              <w:jc w:val="center"/>
              <w:rPr>
                <w:rFonts w:ascii="宋体" w:hAnsi="宋体" w:cs="宋体"/>
                <w:kern w:val="0"/>
                <w:sz w:val="18"/>
                <w:szCs w:val="18"/>
              </w:rPr>
            </w:pPr>
            <w:r>
              <w:rPr>
                <w:rFonts w:hint="eastAsia" w:ascii="宋体" w:hAnsi="宋体" w:cs="宋体"/>
                <w:kern w:val="0"/>
                <w:sz w:val="18"/>
                <w:szCs w:val="18"/>
              </w:rPr>
              <w:t>比较易清洗</w:t>
            </w:r>
          </w:p>
        </w:tc>
      </w:tr>
    </w:tbl>
    <w:p>
      <w:pPr>
        <w:spacing w:before="120" w:line="360" w:lineRule="auto"/>
        <w:ind w:firstLine="442" w:firstLineChars="200"/>
        <w:rPr>
          <w:b/>
          <w:bCs/>
          <w:color w:val="000000"/>
          <w:sz w:val="22"/>
          <w:szCs w:val="22"/>
        </w:rPr>
      </w:pPr>
      <w:r>
        <w:rPr>
          <w:b/>
          <w:bCs/>
          <w:color w:val="000000"/>
          <w:sz w:val="22"/>
          <w:szCs w:val="22"/>
        </w:rPr>
        <w:t xml:space="preserve">5.1.2 </w:t>
      </w:r>
      <w:r>
        <w:rPr>
          <w:rFonts w:hint="eastAsia"/>
          <w:b/>
          <w:bCs/>
          <w:color w:val="000000"/>
          <w:sz w:val="22"/>
          <w:szCs w:val="22"/>
        </w:rPr>
        <w:t>影响乳垢清洗消毒的因素</w:t>
      </w:r>
    </w:p>
    <w:p>
      <w:pPr>
        <w:spacing w:line="360" w:lineRule="auto"/>
        <w:ind w:firstLine="440" w:firstLineChars="200"/>
        <w:jc w:val="left"/>
        <w:rPr>
          <w:sz w:val="22"/>
          <w:szCs w:val="22"/>
        </w:rPr>
      </w:pPr>
      <w:r>
        <w:rPr>
          <w:rFonts w:hint="eastAsia"/>
          <w:sz w:val="22"/>
          <w:szCs w:val="22"/>
        </w:rPr>
        <w:t>影响乳垢清洗消毒的几个要素：时间、温度、水量、冲刷力和清洗剂。</w:t>
      </w:r>
    </w:p>
    <w:p>
      <w:pPr>
        <w:numPr>
          <w:ilvl w:val="0"/>
          <w:numId w:val="4"/>
        </w:numPr>
        <w:spacing w:line="360" w:lineRule="auto"/>
        <w:ind w:firstLine="440" w:firstLineChars="200"/>
        <w:jc w:val="left"/>
        <w:rPr>
          <w:sz w:val="22"/>
          <w:szCs w:val="22"/>
        </w:rPr>
      </w:pPr>
      <w:r>
        <w:rPr>
          <w:rFonts w:hint="eastAsia"/>
          <w:sz w:val="22"/>
          <w:szCs w:val="22"/>
        </w:rPr>
        <w:t>时间：在清洗挤奶及贮奶设备时，清洗时间的参数非常关键。清洗的时间不可太短，如太短清洗剂在管道内的化学作用不充分，达不到彻底清洗的效果。如时间过长，清洗混合液因温度的下降，脂肪和其他物质可二次附着到挤奶设备的内壁，也达不到清洗的预期目的。</w:t>
      </w:r>
    </w:p>
    <w:p>
      <w:pPr>
        <w:numPr>
          <w:ilvl w:val="0"/>
          <w:numId w:val="4"/>
        </w:numPr>
        <w:spacing w:line="360" w:lineRule="auto"/>
        <w:ind w:firstLine="440" w:firstLineChars="200"/>
        <w:jc w:val="left"/>
        <w:rPr>
          <w:sz w:val="22"/>
          <w:szCs w:val="22"/>
        </w:rPr>
      </w:pPr>
      <w:r>
        <w:rPr>
          <w:rFonts w:hint="eastAsia"/>
          <w:sz w:val="22"/>
          <w:szCs w:val="22"/>
        </w:rPr>
        <w:t>温度：清洗液在挤奶及贮奶设备的管道内温度过高或过低都不利于清洗液发挥有效的化学作用。温度过高容易导致蛋白质变性、氯制剂蒸发，而蛋白质变性后形成的坚硬奶垢则加大了清洗设备的难度；清洗液的温度过低时会导致乳脂肪溶解性降低，牛乳中的脂肪残留物会变硬附着到设备的表面。因此，清洗液温度也是清洗液发挥化学作用的关键因素。</w:t>
      </w:r>
    </w:p>
    <w:p>
      <w:pPr>
        <w:numPr>
          <w:ilvl w:val="0"/>
          <w:numId w:val="4"/>
        </w:numPr>
        <w:spacing w:line="360" w:lineRule="auto"/>
        <w:ind w:firstLine="440" w:firstLineChars="200"/>
        <w:rPr>
          <w:sz w:val="22"/>
          <w:szCs w:val="22"/>
        </w:rPr>
      </w:pPr>
      <w:r>
        <w:rPr>
          <w:rFonts w:hint="eastAsia"/>
          <w:sz w:val="22"/>
          <w:szCs w:val="22"/>
        </w:rPr>
        <w:t>水量：影响挤奶及贮奶设备清洗效果的另一重要因素是管道内须有足够的水量，水量足才能保证化学清洗剂与管道内壁的接触面积，进而提供足够的冲刷力。但用水量也不可过大，用水量过大奶泵不能及时将水回流至清洗水槽，清洗液将漫入奶水分离器。</w:t>
      </w:r>
    </w:p>
    <w:p>
      <w:pPr>
        <w:numPr>
          <w:ilvl w:val="0"/>
          <w:numId w:val="4"/>
        </w:numPr>
        <w:spacing w:line="360" w:lineRule="auto"/>
        <w:ind w:firstLine="440" w:firstLineChars="200"/>
        <w:rPr>
          <w:sz w:val="22"/>
          <w:szCs w:val="22"/>
        </w:rPr>
      </w:pPr>
      <w:r>
        <w:rPr>
          <w:rFonts w:hint="eastAsia"/>
          <w:sz w:val="22"/>
          <w:szCs w:val="22"/>
        </w:rPr>
        <w:t>冲刷力：影响清洗效果的另一因素就是冲刷力，然而冲刷力的设置与控制对设备的要求极高，国内牧场所采用的设备差异较大，也存在设备良莠不齐的情况，非全自动化控制的设备较难设定及控制冲刷力。</w:t>
      </w:r>
    </w:p>
    <w:p>
      <w:pPr>
        <w:numPr>
          <w:ilvl w:val="0"/>
          <w:numId w:val="4"/>
        </w:numPr>
        <w:spacing w:line="360" w:lineRule="auto"/>
        <w:ind w:firstLine="440" w:firstLineChars="200"/>
        <w:rPr>
          <w:sz w:val="22"/>
          <w:szCs w:val="22"/>
        </w:rPr>
      </w:pPr>
      <w:r>
        <w:rPr>
          <w:rFonts w:hint="eastAsia"/>
          <w:sz w:val="22"/>
          <w:szCs w:val="22"/>
        </w:rPr>
        <w:t>清洗剂：清洗剂的主要作用是在冲洗过程中让奶渍松动并悬浮起来易于清除。清洗剂的另一个重要作用是防止阳性离子（如</w:t>
      </w:r>
      <w:r>
        <w:rPr>
          <w:sz w:val="22"/>
          <w:szCs w:val="22"/>
        </w:rPr>
        <w:t>Ca</w:t>
      </w:r>
      <w:r>
        <w:rPr>
          <w:sz w:val="22"/>
          <w:szCs w:val="22"/>
          <w:vertAlign w:val="superscript"/>
        </w:rPr>
        <w:t>2+</w:t>
      </w:r>
      <w:r>
        <w:rPr>
          <w:rFonts w:hint="eastAsia"/>
          <w:sz w:val="22"/>
          <w:szCs w:val="22"/>
        </w:rPr>
        <w:t>、</w:t>
      </w:r>
      <w:r>
        <w:rPr>
          <w:sz w:val="22"/>
          <w:szCs w:val="22"/>
        </w:rPr>
        <w:t>Mg</w:t>
      </w:r>
      <w:r>
        <w:rPr>
          <w:sz w:val="22"/>
          <w:szCs w:val="22"/>
          <w:vertAlign w:val="superscript"/>
        </w:rPr>
        <w:t>2+</w:t>
      </w:r>
      <w:r>
        <w:rPr>
          <w:rFonts w:hint="eastAsia"/>
          <w:sz w:val="22"/>
          <w:szCs w:val="22"/>
        </w:rPr>
        <w:t>）形成奶垢。牧场常用的清洗剂就是碱性清洗剂和酸性清洗剂。清洗剂的浓度需要合理控制，浓度过大时，不但成本上升，其清洗效果反而不佳。例如：碱洗时要求碱液</w:t>
      </w:r>
      <w:r>
        <w:rPr>
          <w:sz w:val="22"/>
          <w:szCs w:val="22"/>
        </w:rPr>
        <w:t>pH</w:t>
      </w:r>
      <w:r>
        <w:rPr>
          <w:rFonts w:hint="eastAsia"/>
          <w:sz w:val="22"/>
          <w:szCs w:val="22"/>
        </w:rPr>
        <w:t>在</w:t>
      </w:r>
      <w:r>
        <w:rPr>
          <w:sz w:val="22"/>
          <w:szCs w:val="22"/>
        </w:rPr>
        <w:t>11.5</w:t>
      </w:r>
      <w:r>
        <w:rPr>
          <w:rFonts w:hint="eastAsia"/>
          <w:sz w:val="22"/>
          <w:szCs w:val="22"/>
        </w:rPr>
        <w:t>～</w:t>
      </w:r>
      <w:r>
        <w:rPr>
          <w:sz w:val="22"/>
          <w:szCs w:val="22"/>
        </w:rPr>
        <w:t>12.0</w:t>
      </w:r>
      <w:r>
        <w:rPr>
          <w:rFonts w:hint="eastAsia"/>
          <w:sz w:val="22"/>
          <w:szCs w:val="22"/>
        </w:rPr>
        <w:t>之间，</w:t>
      </w:r>
      <w:r>
        <w:rPr>
          <w:sz w:val="22"/>
          <w:szCs w:val="22"/>
        </w:rPr>
        <w:t>pH</w:t>
      </w:r>
      <w:r>
        <w:rPr>
          <w:rFonts w:hint="eastAsia"/>
          <w:sz w:val="22"/>
          <w:szCs w:val="22"/>
        </w:rPr>
        <w:t>过低不能有效地去除蛋白质和脂类，</w:t>
      </w:r>
      <w:r>
        <w:rPr>
          <w:sz w:val="22"/>
          <w:szCs w:val="22"/>
        </w:rPr>
        <w:t>pH</w:t>
      </w:r>
      <w:r>
        <w:rPr>
          <w:rFonts w:hint="eastAsia"/>
          <w:sz w:val="22"/>
          <w:szCs w:val="22"/>
        </w:rPr>
        <w:t>过高会对管道内的橡胶垫圈和奶衬产生腐蚀作用；而酸洗时确保</w:t>
      </w:r>
      <w:r>
        <w:rPr>
          <w:sz w:val="22"/>
          <w:szCs w:val="22"/>
        </w:rPr>
        <w:t>pH</w:t>
      </w:r>
      <w:r>
        <w:rPr>
          <w:rFonts w:hint="eastAsia"/>
          <w:sz w:val="22"/>
          <w:szCs w:val="22"/>
        </w:rPr>
        <w:t>在</w:t>
      </w:r>
      <w:r>
        <w:rPr>
          <w:sz w:val="22"/>
          <w:szCs w:val="22"/>
        </w:rPr>
        <w:t>2.0</w:t>
      </w:r>
      <w:r>
        <w:rPr>
          <w:rFonts w:hint="eastAsia"/>
          <w:sz w:val="22"/>
          <w:szCs w:val="22"/>
        </w:rPr>
        <w:t>～</w:t>
      </w:r>
      <w:r>
        <w:rPr>
          <w:sz w:val="22"/>
          <w:szCs w:val="22"/>
        </w:rPr>
        <w:t>3.0</w:t>
      </w:r>
      <w:r>
        <w:rPr>
          <w:rFonts w:hint="eastAsia"/>
          <w:sz w:val="22"/>
          <w:szCs w:val="22"/>
        </w:rPr>
        <w:t>之间，酸性过低不利于去除难溶物质，酸性过高会腐蚀挤奶管道。</w:t>
      </w:r>
    </w:p>
    <w:p>
      <w:pPr>
        <w:numPr>
          <w:ilvl w:val="255"/>
          <w:numId w:val="0"/>
        </w:numPr>
        <w:spacing w:line="360" w:lineRule="auto"/>
        <w:ind w:firstLine="440" w:firstLineChars="200"/>
        <w:rPr>
          <w:sz w:val="22"/>
          <w:szCs w:val="22"/>
        </w:rPr>
      </w:pPr>
      <w:r>
        <w:rPr>
          <w:rFonts w:hint="eastAsia"/>
          <w:sz w:val="22"/>
          <w:szCs w:val="22"/>
        </w:rPr>
        <w:t>设备的清洗消毒需要考虑以上因素，并设计合理的清洗程序，保证清洗效果。</w:t>
      </w:r>
    </w:p>
    <w:p>
      <w:pPr>
        <w:spacing w:line="360" w:lineRule="auto"/>
        <w:ind w:firstLine="442" w:firstLineChars="200"/>
        <w:rPr>
          <w:b/>
          <w:sz w:val="22"/>
          <w:szCs w:val="22"/>
        </w:rPr>
      </w:pPr>
      <w:r>
        <w:rPr>
          <w:b/>
          <w:sz w:val="22"/>
          <w:szCs w:val="22"/>
        </w:rPr>
        <w:t xml:space="preserve">5.2 </w:t>
      </w:r>
      <w:r>
        <w:rPr>
          <w:rFonts w:hint="eastAsia"/>
          <w:b/>
          <w:bCs/>
          <w:color w:val="000000"/>
          <w:sz w:val="22"/>
          <w:szCs w:val="22"/>
        </w:rPr>
        <w:t>清洗消毒前准备</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6.1</w:t>
      </w:r>
    </w:p>
    <w:p>
      <w:pPr>
        <w:spacing w:line="360" w:lineRule="auto"/>
        <w:ind w:firstLine="420"/>
        <w:rPr>
          <w:sz w:val="22"/>
          <w:szCs w:val="22"/>
        </w:rPr>
      </w:pPr>
      <w:r>
        <w:rPr>
          <w:sz w:val="22"/>
          <w:szCs w:val="22"/>
        </w:rPr>
        <w:t>6.1.1挤奶完全结束后，排尽挤奶管道内奶液（严禁水顶奶），关闭挤奶系统，把挤奶管道系统切换到清洗管道系统。</w:t>
      </w:r>
    </w:p>
    <w:p>
      <w:pPr>
        <w:spacing w:line="360" w:lineRule="auto"/>
        <w:ind w:firstLine="420"/>
        <w:rPr>
          <w:sz w:val="22"/>
          <w:szCs w:val="22"/>
        </w:rPr>
      </w:pPr>
      <w:r>
        <w:rPr>
          <w:sz w:val="22"/>
          <w:szCs w:val="22"/>
        </w:rPr>
        <w:t>6.1.2 应对挤奶或储奶设备表面进行清洁工作，确保设备外表无肉眼可见的污物。</w:t>
      </w:r>
    </w:p>
    <w:p>
      <w:pPr>
        <w:spacing w:line="360" w:lineRule="auto"/>
        <w:ind w:firstLine="420"/>
        <w:rPr>
          <w:sz w:val="22"/>
          <w:szCs w:val="22"/>
        </w:rPr>
      </w:pPr>
      <w:r>
        <w:rPr>
          <w:sz w:val="22"/>
          <w:szCs w:val="22"/>
        </w:rPr>
        <w:t>6.1.3 挤奶杯安装到相应的清洗底座，确认安装到位。清洗底座与清洗水管应确保无老化、无破损。</w:t>
      </w:r>
    </w:p>
    <w:p>
      <w:pPr>
        <w:spacing w:line="360" w:lineRule="auto"/>
        <w:ind w:firstLine="420"/>
        <w:rPr>
          <w:b/>
          <w:sz w:val="22"/>
          <w:szCs w:val="22"/>
        </w:rPr>
      </w:pPr>
      <w:r>
        <w:rPr>
          <w:rFonts w:hint="eastAsia"/>
          <w:b/>
          <w:sz w:val="22"/>
          <w:szCs w:val="22"/>
        </w:rPr>
        <w:t>理由及依据：</w:t>
      </w:r>
    </w:p>
    <w:p>
      <w:pPr>
        <w:spacing w:line="360" w:lineRule="auto"/>
        <w:ind w:firstLine="420"/>
        <w:rPr>
          <w:sz w:val="22"/>
          <w:szCs w:val="22"/>
        </w:rPr>
      </w:pPr>
      <w:r>
        <w:rPr>
          <w:sz w:val="22"/>
          <w:szCs w:val="22"/>
        </w:rPr>
        <w:t>挤奶时，牛舍内或挤奶厅内不应进行相关消毒工作；在挤奶结束后，应尽快排尽挤奶管道内奶液，及时关闭挤奶系统，专用孔道应用不锈钢孔盖或食品级塞子密封，并将挤奶管道系统切换到清洗管道系统；清洗</w:t>
      </w:r>
      <w:r>
        <w:rPr>
          <w:rFonts w:hint="eastAsia"/>
          <w:sz w:val="22"/>
          <w:szCs w:val="22"/>
        </w:rPr>
        <w:t>消毒</w:t>
      </w:r>
      <w:r>
        <w:rPr>
          <w:sz w:val="22"/>
          <w:szCs w:val="22"/>
        </w:rPr>
        <w:t>前应对挤奶或贮奶设施设备表面进行清洁工作，确保设备外表无肉眼可见的污物</w:t>
      </w:r>
      <w:r>
        <w:rPr>
          <w:rFonts w:hint="eastAsia"/>
          <w:sz w:val="22"/>
          <w:szCs w:val="22"/>
        </w:rPr>
        <w:t>，并</w:t>
      </w:r>
      <w:r>
        <w:rPr>
          <w:sz w:val="22"/>
          <w:szCs w:val="22"/>
        </w:rPr>
        <w:t>将挤奶杯安装到相应的清洗底座，确认安装到位，清洗底座与清洗水管应确保无老化、破损现象</w:t>
      </w:r>
      <w:r>
        <w:rPr>
          <w:rFonts w:hint="eastAsia"/>
          <w:sz w:val="22"/>
          <w:szCs w:val="22"/>
        </w:rPr>
        <w:t>。</w:t>
      </w:r>
    </w:p>
    <w:p>
      <w:pPr>
        <w:spacing w:line="360" w:lineRule="auto"/>
        <w:ind w:firstLine="420"/>
        <w:rPr>
          <w:sz w:val="22"/>
          <w:szCs w:val="22"/>
        </w:rPr>
      </w:pPr>
      <w:r>
        <w:rPr>
          <w:rFonts w:hint="eastAsia"/>
          <w:sz w:val="22"/>
          <w:szCs w:val="22"/>
        </w:rPr>
        <w:t>应注意，</w:t>
      </w:r>
      <w:r>
        <w:rPr>
          <w:sz w:val="22"/>
          <w:szCs w:val="22"/>
        </w:rPr>
        <w:t>挤奶及</w:t>
      </w:r>
      <w:r>
        <w:rPr>
          <w:rFonts w:hint="eastAsia"/>
          <w:sz w:val="22"/>
          <w:szCs w:val="22"/>
        </w:rPr>
        <w:t>储</w:t>
      </w:r>
      <w:r>
        <w:rPr>
          <w:sz w:val="22"/>
          <w:szCs w:val="22"/>
        </w:rPr>
        <w:t>奶设备中的生乳放出后应及时进行清洗消毒，定期对挤奶设备设施及</w:t>
      </w:r>
      <w:r>
        <w:rPr>
          <w:rFonts w:hint="eastAsia"/>
          <w:sz w:val="22"/>
          <w:szCs w:val="22"/>
        </w:rPr>
        <w:t>储</w:t>
      </w:r>
      <w:r>
        <w:rPr>
          <w:sz w:val="22"/>
          <w:szCs w:val="22"/>
        </w:rPr>
        <w:t>存设施进行维护保养，确保设备设施的运行状态良好。依据污垢形成的过程，清洗消毒工艺分为冷表面清洗消毒工艺和热表面清洗消毒工艺，对于挤奶设备、奶罐、化料罐、老化罐等设备，其因流经冷乳而形成的污垢比较疏散松软，一般为牛乳膜或C类乳石，因此通常采用冷表面清洗消毒工艺。清洗步骤可以通过预冲洗、循环清洗（碱洗、酸洗）、后冲洗、热水消毒等步骤来完成，在实际操作中，国内外的</w:t>
      </w:r>
      <w:r>
        <w:rPr>
          <w:rFonts w:hint="eastAsia"/>
          <w:sz w:val="22"/>
          <w:szCs w:val="22"/>
        </w:rPr>
        <w:t>奶畜养殖场</w:t>
      </w:r>
      <w:r>
        <w:rPr>
          <w:sz w:val="22"/>
          <w:szCs w:val="22"/>
        </w:rPr>
        <w:t>一般都不会只采用单一步骤完成冲洗消毒，而是通过多步骤的组合来完成。主要包括预冲洗、循环清洗（碱洗、酸洗）、后冲洗、热水消毒四步骤</w:t>
      </w:r>
      <w:r>
        <w:rPr>
          <w:rFonts w:hint="eastAsia"/>
          <w:sz w:val="22"/>
          <w:szCs w:val="22"/>
        </w:rPr>
        <w:t>。</w:t>
      </w:r>
    </w:p>
    <w:p>
      <w:pPr>
        <w:spacing w:line="360" w:lineRule="auto"/>
        <w:ind w:firstLine="420"/>
        <w:rPr>
          <w:sz w:val="22"/>
          <w:szCs w:val="22"/>
        </w:rPr>
      </w:pPr>
      <w:r>
        <w:rPr>
          <w:rFonts w:hint="eastAsia"/>
          <w:sz w:val="22"/>
          <w:szCs w:val="22"/>
        </w:rPr>
        <w:t>从安全考量来看，在设备使用前进行消毒是比较可靠的，可以杀灭残存的有害菌，普通的巴氏杀菌手段可以杀灭致病菌。参考美国A级巴氏奶管理要求，从杀灭的效果来说，牧场的挤奶及贮奶设备在每次使用前需要将设备完全浸没在不低于77</w:t>
      </w:r>
      <w:r>
        <w:rPr>
          <w:sz w:val="22"/>
          <w:szCs w:val="22"/>
        </w:rPr>
        <w:t>℃</w:t>
      </w:r>
      <w:r>
        <w:rPr>
          <w:rFonts w:hint="eastAsia"/>
          <w:sz w:val="22"/>
          <w:szCs w:val="22"/>
        </w:rPr>
        <w:t>以上的热水清洗消毒5 min以上，或者连通77</w:t>
      </w:r>
      <w:r>
        <w:rPr>
          <w:sz w:val="22"/>
          <w:szCs w:val="22"/>
        </w:rPr>
        <w:t>℃</w:t>
      </w:r>
      <w:r>
        <w:rPr>
          <w:rFonts w:hint="eastAsia"/>
          <w:sz w:val="22"/>
          <w:szCs w:val="22"/>
        </w:rPr>
        <w:t>以上的热水5 min以上可以有效杀灭致病菌。从频次上来说，每次使用前，都应该进行热水消毒。当然，除首次使用外，使用前的设备在上次清洗后都进行了清洗消毒，故而本次使用前进行热水消毒即可，不必使用清洗剂。</w:t>
      </w:r>
    </w:p>
    <w:p>
      <w:pPr>
        <w:spacing w:line="360" w:lineRule="auto"/>
        <w:ind w:firstLine="420"/>
        <w:rPr>
          <w:b/>
          <w:sz w:val="22"/>
          <w:szCs w:val="22"/>
        </w:rPr>
      </w:pPr>
      <w:r>
        <w:rPr>
          <w:b/>
          <w:sz w:val="22"/>
          <w:szCs w:val="22"/>
        </w:rPr>
        <w:t xml:space="preserve">5.3 </w:t>
      </w:r>
      <w:r>
        <w:rPr>
          <w:rFonts w:hint="eastAsia"/>
          <w:b/>
          <w:sz w:val="22"/>
          <w:szCs w:val="22"/>
        </w:rPr>
        <w:t>预冲洗</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6.2</w:t>
      </w:r>
    </w:p>
    <w:p>
      <w:pPr>
        <w:spacing w:line="360" w:lineRule="auto"/>
        <w:ind w:firstLine="420"/>
        <w:rPr>
          <w:sz w:val="22"/>
          <w:szCs w:val="22"/>
        </w:rPr>
      </w:pPr>
      <w:r>
        <w:rPr>
          <w:sz w:val="22"/>
          <w:szCs w:val="22"/>
        </w:rPr>
        <w:t>清洗管路接好后，用水单向冲洗5 min，直至水清。</w:t>
      </w:r>
    </w:p>
    <w:p>
      <w:pPr>
        <w:spacing w:line="360" w:lineRule="auto"/>
        <w:ind w:firstLine="420"/>
        <w:rPr>
          <w:b/>
          <w:bCs/>
          <w:sz w:val="22"/>
          <w:szCs w:val="22"/>
        </w:rPr>
      </w:pPr>
      <w:r>
        <w:rPr>
          <w:b/>
          <w:bCs/>
          <w:sz w:val="22"/>
          <w:szCs w:val="22"/>
        </w:rPr>
        <w:t>理由及依据：</w:t>
      </w:r>
    </w:p>
    <w:p>
      <w:pPr>
        <w:spacing w:line="360" w:lineRule="auto"/>
        <w:ind w:firstLine="420"/>
        <w:rPr>
          <w:sz w:val="22"/>
          <w:szCs w:val="22"/>
        </w:rPr>
      </w:pPr>
      <w:r>
        <w:rPr>
          <w:sz w:val="22"/>
          <w:szCs w:val="22"/>
        </w:rPr>
        <w:t>预冲洗是为了清除98%以上的水溶物，要在挤奶或贮奶结束后立即进行。挤奶完毕，清洗管路接好后，将出水管口放到下水道口，马上用水进行单向预冲洗，不加任何清洗剂，冲洗时间5 min。在预冲洗时一般使用常温水（20-35℃），不会导致蛋白变性从而形成沉积物。</w:t>
      </w:r>
    </w:p>
    <w:p>
      <w:pPr>
        <w:spacing w:line="360" w:lineRule="auto"/>
        <w:ind w:firstLine="420"/>
        <w:rPr>
          <w:b/>
          <w:sz w:val="22"/>
          <w:szCs w:val="22"/>
        </w:rPr>
      </w:pPr>
      <w:r>
        <w:rPr>
          <w:b/>
          <w:sz w:val="22"/>
          <w:szCs w:val="22"/>
        </w:rPr>
        <w:t xml:space="preserve">5.4 </w:t>
      </w:r>
      <w:r>
        <w:rPr>
          <w:rFonts w:hint="eastAsia"/>
          <w:b/>
          <w:sz w:val="22"/>
          <w:szCs w:val="22"/>
        </w:rPr>
        <w:t>碱洗和酸洗</w:t>
      </w:r>
    </w:p>
    <w:p>
      <w:pPr>
        <w:spacing w:line="360" w:lineRule="auto"/>
        <w:ind w:firstLine="420"/>
        <w:rPr>
          <w:b/>
          <w:sz w:val="22"/>
          <w:szCs w:val="22"/>
        </w:rPr>
      </w:pPr>
      <w:r>
        <w:rPr>
          <w:rFonts w:hint="eastAsia"/>
          <w:b/>
          <w:sz w:val="22"/>
          <w:szCs w:val="22"/>
        </w:rPr>
        <w:t>标准内容</w:t>
      </w:r>
      <w:r>
        <w:rPr>
          <w:b/>
          <w:sz w:val="22"/>
          <w:szCs w:val="22"/>
        </w:rPr>
        <w:t>6.3</w:t>
      </w:r>
      <w:r>
        <w:rPr>
          <w:rFonts w:hint="eastAsia"/>
          <w:b/>
          <w:sz w:val="22"/>
          <w:szCs w:val="22"/>
        </w:rPr>
        <w:t>和</w:t>
      </w:r>
      <w:r>
        <w:rPr>
          <w:b/>
          <w:sz w:val="22"/>
          <w:szCs w:val="22"/>
        </w:rPr>
        <w:t>6.4</w:t>
      </w:r>
    </w:p>
    <w:p>
      <w:pPr>
        <w:spacing w:line="360" w:lineRule="auto"/>
        <w:ind w:firstLine="420"/>
        <w:rPr>
          <w:sz w:val="22"/>
          <w:szCs w:val="22"/>
        </w:rPr>
      </w:pPr>
      <w:r>
        <w:rPr>
          <w:sz w:val="22"/>
          <w:szCs w:val="22"/>
        </w:rPr>
        <w:t>6.3.1 碱液有效成分浓度为0.3%～0.5%，pH为11.5～12.0。</w:t>
      </w:r>
    </w:p>
    <w:p>
      <w:pPr>
        <w:spacing w:line="360" w:lineRule="auto"/>
        <w:ind w:firstLine="420"/>
        <w:rPr>
          <w:sz w:val="22"/>
          <w:szCs w:val="22"/>
        </w:rPr>
      </w:pPr>
      <w:r>
        <w:rPr>
          <w:sz w:val="22"/>
          <w:szCs w:val="22"/>
        </w:rPr>
        <w:t>6.3.2 以循环清洗方式用碱液清洗5 min～10 min；碱洗水温开始为70℃～85℃，循环后排出碱液温度不低于40℃；碱洗后，用水冲洗排净。</w:t>
      </w:r>
    </w:p>
    <w:p>
      <w:pPr>
        <w:spacing w:line="360" w:lineRule="auto"/>
        <w:ind w:firstLine="420"/>
        <w:rPr>
          <w:sz w:val="22"/>
          <w:szCs w:val="22"/>
        </w:rPr>
      </w:pPr>
      <w:r>
        <w:rPr>
          <w:sz w:val="22"/>
          <w:szCs w:val="22"/>
        </w:rPr>
        <w:t>6.4.1 酸洗每周不低于3次。</w:t>
      </w:r>
    </w:p>
    <w:p>
      <w:pPr>
        <w:spacing w:line="360" w:lineRule="auto"/>
        <w:ind w:firstLine="420"/>
        <w:rPr>
          <w:sz w:val="22"/>
          <w:szCs w:val="22"/>
        </w:rPr>
      </w:pPr>
      <w:r>
        <w:rPr>
          <w:sz w:val="22"/>
          <w:szCs w:val="22"/>
        </w:rPr>
        <w:t xml:space="preserve">6.4.2 酸液有效成分浓度为0.3%～0.5%，pH为2.0～3.0。 </w:t>
      </w:r>
    </w:p>
    <w:p>
      <w:pPr>
        <w:spacing w:line="360" w:lineRule="auto"/>
        <w:ind w:firstLine="420"/>
        <w:rPr>
          <w:sz w:val="22"/>
          <w:szCs w:val="22"/>
        </w:rPr>
      </w:pPr>
      <w:r>
        <w:rPr>
          <w:sz w:val="22"/>
          <w:szCs w:val="22"/>
        </w:rPr>
        <w:t>6.4.3 以循环清洗方式用酸液清洗5 min～10 min；酸洗水温开始为70℃～85℃，循环后排出酸液温度不低于40℃。</w:t>
      </w:r>
    </w:p>
    <w:p>
      <w:pPr>
        <w:spacing w:line="360" w:lineRule="auto"/>
        <w:ind w:firstLine="420"/>
        <w:rPr>
          <w:b/>
          <w:sz w:val="22"/>
          <w:szCs w:val="22"/>
        </w:rPr>
      </w:pPr>
      <w:r>
        <w:rPr>
          <w:rFonts w:hint="eastAsia"/>
          <w:b/>
          <w:sz w:val="22"/>
          <w:szCs w:val="22"/>
        </w:rPr>
        <w:t>理由及依据：</w:t>
      </w:r>
    </w:p>
    <w:p>
      <w:pPr>
        <w:spacing w:line="360" w:lineRule="auto"/>
        <w:ind w:firstLine="420"/>
        <w:rPr>
          <w:sz w:val="22"/>
          <w:szCs w:val="22"/>
        </w:rPr>
      </w:pPr>
      <w:r>
        <w:rPr>
          <w:sz w:val="22"/>
          <w:szCs w:val="22"/>
        </w:rPr>
        <w:t>循环清洗根据挤奶设备的类型、大小及当地水质的特点，在设备的清洗水槽内加入足够量的水和碱或酸的混合清洗剂，水温保持在75~85℃，循环清洗7~10 min，排水温度不低于40℃。碱性循环清洗的目的主要是除奶垢和对管道进行清洗，清洗剂中氯的主要作用是分解蛋白质。酸性清洗剂的循环目的主要是去除奶垢和矿物质。</w:t>
      </w:r>
    </w:p>
    <w:p>
      <w:pPr>
        <w:spacing w:line="360" w:lineRule="auto"/>
        <w:ind w:firstLine="420"/>
        <w:rPr>
          <w:sz w:val="22"/>
          <w:szCs w:val="22"/>
        </w:rPr>
      </w:pPr>
      <w:r>
        <w:rPr>
          <w:rFonts w:hint="eastAsia"/>
          <w:sz w:val="22"/>
          <w:szCs w:val="22"/>
        </w:rPr>
        <w:t>奶畜养殖场在进行挤奶及储奶设备清洗消毒时</w:t>
      </w:r>
      <w:r>
        <w:rPr>
          <w:sz w:val="22"/>
          <w:szCs w:val="22"/>
        </w:rPr>
        <w:t>一般情况下</w:t>
      </w:r>
      <w:r>
        <w:rPr>
          <w:rFonts w:hint="eastAsia"/>
          <w:sz w:val="22"/>
          <w:szCs w:val="22"/>
        </w:rPr>
        <w:t>参照图1流程进行。其中碱洗是在每次设备使用后都应必须进行的清洗方式，碱洗流程为</w:t>
      </w:r>
      <w:r>
        <w:rPr>
          <w:sz w:val="22"/>
          <w:szCs w:val="22"/>
        </w:rPr>
        <w:t>以循环清洗方式用碱液清洗5 min～10 min；通常碱液有效成分的浓度0.3%-0.5%，pH值为11.5～12.0或按实际情况确定；碱洗水温开始为70℃～85℃，排出碱液温度不低于40℃；碱洗后，用水冲洗排净。</w:t>
      </w:r>
      <w:r>
        <w:rPr>
          <w:rFonts w:hint="eastAsia"/>
          <w:sz w:val="22"/>
          <w:szCs w:val="22"/>
        </w:rPr>
        <w:t>此外，在碱洗基础上，设备还应保证每周不低于3次频率的酸洗，酸洗具体流程为</w:t>
      </w:r>
      <w:r>
        <w:rPr>
          <w:sz w:val="22"/>
          <w:szCs w:val="22"/>
        </w:rPr>
        <w:t>以循环清洗方式用酸液清洗5 min～10 min；通常酸液有效成分的浓度为0.3%-0.5%，pH值为2.0～3.0或按实际情况确定；酸洗水温开始为70℃～85℃，循环后排出酸液温度不低于40℃。清洗时，碱洗要保证每潮一次</w:t>
      </w:r>
      <w:r>
        <w:rPr>
          <w:rFonts w:hint="eastAsia"/>
          <w:sz w:val="22"/>
          <w:szCs w:val="22"/>
        </w:rPr>
        <w:t>，</w:t>
      </w:r>
      <w:r>
        <w:rPr>
          <w:sz w:val="22"/>
          <w:szCs w:val="22"/>
        </w:rPr>
        <w:t>酸洗视情形而定</w:t>
      </w:r>
      <w:r>
        <w:rPr>
          <w:rFonts w:hint="eastAsia"/>
          <w:sz w:val="22"/>
          <w:szCs w:val="22"/>
        </w:rPr>
        <w:t>（</w:t>
      </w:r>
      <w:r>
        <w:rPr>
          <w:sz w:val="22"/>
          <w:szCs w:val="22"/>
        </w:rPr>
        <w:t>有牧场提出</w:t>
      </w:r>
      <w:r>
        <w:rPr>
          <w:rFonts w:hint="eastAsia"/>
          <w:sz w:val="22"/>
          <w:szCs w:val="22"/>
        </w:rPr>
        <w:t>“</w:t>
      </w:r>
      <w:r>
        <w:rPr>
          <w:sz w:val="22"/>
          <w:szCs w:val="22"/>
        </w:rPr>
        <w:t>两碱一酸</w:t>
      </w:r>
      <w:r>
        <w:rPr>
          <w:rFonts w:hint="eastAsia"/>
          <w:sz w:val="22"/>
          <w:szCs w:val="22"/>
        </w:rPr>
        <w:t>”</w:t>
      </w:r>
      <w:r>
        <w:rPr>
          <w:sz w:val="22"/>
          <w:szCs w:val="22"/>
        </w:rPr>
        <w:t>，也有要求酸洗至少保持三天一次的频次</w:t>
      </w:r>
      <w:r>
        <w:rPr>
          <w:rFonts w:hint="eastAsia"/>
          <w:sz w:val="22"/>
          <w:szCs w:val="22"/>
        </w:rPr>
        <w:t>），但总体上要保证酸洗每周不低于3次。</w:t>
      </w:r>
    </w:p>
    <w:p>
      <w:pPr>
        <w:spacing w:line="360" w:lineRule="auto"/>
        <w:ind w:firstLine="420"/>
        <w:rPr>
          <w:b/>
          <w:sz w:val="22"/>
          <w:szCs w:val="22"/>
        </w:rPr>
      </w:pPr>
      <w:r>
        <w:rPr>
          <w:b/>
          <w:sz w:val="22"/>
          <w:szCs w:val="22"/>
        </w:rPr>
        <w:t xml:space="preserve">5.5 </w:t>
      </w:r>
      <w:r>
        <w:rPr>
          <w:rFonts w:hint="eastAsia"/>
          <w:b/>
          <w:sz w:val="22"/>
          <w:szCs w:val="22"/>
        </w:rPr>
        <w:t>后冲洗</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6.5</w:t>
      </w:r>
    </w:p>
    <w:p>
      <w:pPr>
        <w:spacing w:line="360" w:lineRule="auto"/>
        <w:ind w:firstLine="420"/>
        <w:rPr>
          <w:bCs/>
          <w:color w:val="000000"/>
          <w:sz w:val="22"/>
          <w:szCs w:val="22"/>
        </w:rPr>
      </w:pPr>
      <w:r>
        <w:rPr>
          <w:bCs/>
          <w:color w:val="000000"/>
          <w:sz w:val="22"/>
          <w:szCs w:val="22"/>
        </w:rPr>
        <w:t>用常温水单向冲洗，直至管道出口水与清洗用水的pH一致。</w:t>
      </w:r>
    </w:p>
    <w:p>
      <w:pPr>
        <w:spacing w:line="360" w:lineRule="auto"/>
        <w:ind w:firstLine="420"/>
        <w:rPr>
          <w:b/>
          <w:sz w:val="22"/>
          <w:szCs w:val="22"/>
        </w:rPr>
      </w:pPr>
      <w:r>
        <w:rPr>
          <w:b/>
          <w:sz w:val="22"/>
          <w:szCs w:val="22"/>
        </w:rPr>
        <w:t>理由及依据：</w:t>
      </w:r>
    </w:p>
    <w:p>
      <w:pPr>
        <w:spacing w:beforeLines="50" w:afterLines="50" w:line="360" w:lineRule="auto"/>
        <w:ind w:firstLine="440" w:firstLineChars="200"/>
        <w:contextualSpacing/>
        <w:rPr>
          <w:bCs/>
          <w:sz w:val="22"/>
          <w:szCs w:val="22"/>
        </w:rPr>
      </w:pPr>
      <w:r>
        <w:rPr>
          <w:bCs/>
          <w:sz w:val="22"/>
          <w:szCs w:val="22"/>
        </w:rPr>
        <w:t>后冲洗是用符合国家标准的饮用水对挤奶设备进行后冲洗，后冲洗的主要目的是去除清洗剂的残留，冲洗的标准是水清为止。以通常单向冲洗清洗方式，用常温水冲洗挤奶设备；清洗管路接好后，将出水管口放到下水道口开始清洗，保证管道、挤奶设备、贮奶设备等不应有清洗用酸液和碱液残留，冲洗后用pH试纸检测，直至管道出口水与清洗用水的pH一致。</w:t>
      </w:r>
    </w:p>
    <w:p>
      <w:pPr>
        <w:spacing w:beforeLines="50" w:afterLines="50" w:line="360" w:lineRule="auto"/>
        <w:ind w:firstLine="440" w:firstLineChars="200"/>
        <w:contextualSpacing/>
        <w:rPr>
          <w:bCs/>
          <w:sz w:val="22"/>
          <w:szCs w:val="22"/>
        </w:rPr>
      </w:pPr>
      <w:r>
        <w:rPr>
          <w:bCs/>
          <w:sz w:val="22"/>
          <w:szCs w:val="22"/>
        </w:rPr>
        <w:t>随后再采用热水消毒流程，通过热水循环清洗的方式，用不低于77℃的热水循环清洗，时间不少于5 min。此外，必要时应对挤奶或储奶设备死角以及需要手工拆洗的部件（如接头、奶泵等）进行人工拆洗和热水消毒。</w:t>
      </w:r>
    </w:p>
    <w:p>
      <w:pPr>
        <w:spacing w:line="360" w:lineRule="auto"/>
        <w:ind w:firstLine="420"/>
        <w:rPr>
          <w:b/>
          <w:sz w:val="22"/>
          <w:szCs w:val="22"/>
        </w:rPr>
      </w:pPr>
      <w:r>
        <w:rPr>
          <w:b/>
          <w:sz w:val="22"/>
          <w:szCs w:val="22"/>
        </w:rPr>
        <w:t xml:space="preserve">5.6 </w:t>
      </w:r>
      <w:r>
        <w:rPr>
          <w:rFonts w:hint="eastAsia"/>
          <w:b/>
          <w:sz w:val="22"/>
          <w:szCs w:val="22"/>
        </w:rPr>
        <w:t>清洗消毒注意事项</w:t>
      </w:r>
    </w:p>
    <w:p>
      <w:pPr>
        <w:spacing w:beforeLines="50" w:afterLines="50" w:line="360" w:lineRule="auto"/>
        <w:ind w:firstLine="440" w:firstLineChars="200"/>
        <w:contextualSpacing/>
        <w:rPr>
          <w:bCs/>
          <w:sz w:val="22"/>
          <w:szCs w:val="28"/>
        </w:rPr>
      </w:pPr>
      <w:r>
        <w:rPr>
          <w:rFonts w:hint="eastAsia"/>
          <w:bCs/>
          <w:sz w:val="22"/>
          <w:szCs w:val="28"/>
        </w:rPr>
        <w:t>注意每班次挤奶结束后，应对奶水分离器及其上方真空管道进行清洗，无奶垢残留，无异味。</w:t>
      </w:r>
    </w:p>
    <w:p>
      <w:pPr>
        <w:spacing w:beforeLines="50" w:afterLines="50" w:line="360" w:lineRule="auto"/>
        <w:ind w:firstLine="440" w:firstLineChars="200"/>
        <w:contextualSpacing/>
        <w:rPr>
          <w:bCs/>
          <w:sz w:val="22"/>
          <w:szCs w:val="28"/>
        </w:rPr>
      </w:pPr>
      <w:r>
        <w:rPr>
          <w:rFonts w:hint="eastAsia"/>
          <w:bCs/>
          <w:sz w:val="22"/>
          <w:szCs w:val="28"/>
        </w:rPr>
        <w:t>真空盛气筒应每月检查，无废液，无异味。每班次挤奶结束后，应对与生乳接触的设备设施进行清洗、消毒。</w:t>
      </w:r>
    </w:p>
    <w:p>
      <w:pPr>
        <w:spacing w:beforeLines="50" w:afterLines="50" w:line="360" w:lineRule="auto"/>
        <w:ind w:firstLine="440" w:firstLineChars="200"/>
        <w:contextualSpacing/>
        <w:rPr>
          <w:bCs/>
          <w:sz w:val="22"/>
          <w:szCs w:val="28"/>
        </w:rPr>
      </w:pPr>
      <w:r>
        <w:rPr>
          <w:rFonts w:hint="eastAsia"/>
          <w:bCs/>
          <w:sz w:val="22"/>
          <w:szCs w:val="28"/>
        </w:rPr>
        <w:t>清洗前需要排尽管道中牛奶，对环境及设备表面做好清理清洁，自动化控制的设备应调整到清洗状态。</w:t>
      </w:r>
    </w:p>
    <w:p>
      <w:pPr>
        <w:spacing w:beforeLines="50" w:afterLines="50" w:line="360" w:lineRule="auto"/>
        <w:ind w:firstLine="440" w:firstLineChars="200"/>
        <w:contextualSpacing/>
        <w:rPr>
          <w:sz w:val="22"/>
          <w:szCs w:val="22"/>
        </w:rPr>
      </w:pPr>
      <w:r>
        <w:rPr>
          <w:rFonts w:hint="eastAsia"/>
          <w:sz w:val="22"/>
          <w:szCs w:val="22"/>
        </w:rPr>
        <w:t>碱洗和酸洗的过程中要保证清洗液的温度，可以以排水温度来计。</w:t>
      </w:r>
    </w:p>
    <w:p>
      <w:pPr>
        <w:widowControl/>
        <w:spacing w:line="360" w:lineRule="auto"/>
        <w:ind w:right="28" w:firstLine="707" w:firstLineChars="337"/>
        <w:jc w:val="center"/>
        <w:rPr>
          <w:kern w:val="0"/>
          <w:szCs w:val="21"/>
        </w:rPr>
      </w:pPr>
      <w:r>
        <w:rPr>
          <w:kern w:val="0"/>
          <w:szCs w:val="21"/>
        </w:rPr>
        <w:drawing>
          <wp:inline distT="0" distB="0" distL="0" distR="0">
            <wp:extent cx="3719830" cy="2960370"/>
            <wp:effectExtent l="0" t="0" r="4445" b="190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noChangeArrowheads="1"/>
                    </pic:cNvPicPr>
                  </pic:nvPicPr>
                  <pic:blipFill>
                    <a:blip r:embed="rId9" cstate="print"/>
                    <a:srcRect/>
                    <a:stretch>
                      <a:fillRect/>
                    </a:stretch>
                  </pic:blipFill>
                  <pic:spPr>
                    <a:xfrm>
                      <a:off x="0" y="0"/>
                      <a:ext cx="3719830" cy="2960370"/>
                    </a:xfrm>
                    <a:prstGeom prst="rect">
                      <a:avLst/>
                    </a:prstGeom>
                    <a:noFill/>
                    <a:ln w="9525">
                      <a:noFill/>
                      <a:miter lim="800000"/>
                      <a:headEnd/>
                      <a:tailEn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图3 缸盖内侧、缸盖垫圈、缸盖透气阀、奶罐喷头、卸奶口管道接口检查</w:t>
      </w:r>
    </w:p>
    <w:p>
      <w:pPr>
        <w:widowControl/>
        <w:spacing w:line="360" w:lineRule="auto"/>
        <w:ind w:right="28" w:firstLine="707" w:firstLineChars="337"/>
        <w:jc w:val="left"/>
        <w:rPr>
          <w:kern w:val="0"/>
          <w:szCs w:val="21"/>
        </w:rPr>
      </w:pPr>
    </w:p>
    <w:p>
      <w:pPr>
        <w:widowControl/>
        <w:spacing w:line="360" w:lineRule="auto"/>
        <w:ind w:right="28"/>
        <w:rPr>
          <w:kern w:val="0"/>
          <w:szCs w:val="21"/>
        </w:rPr>
      </w:pPr>
      <w:r>
        <w:rPr>
          <w:rFonts w:hint="eastAsia"/>
          <w:kern w:val="0"/>
          <w:szCs w:val="21"/>
        </w:rPr>
        <w:t xml:space="preserve">    </w:t>
      </w:r>
      <w:r>
        <w:rPr>
          <w:kern w:val="0"/>
          <w:szCs w:val="21"/>
        </w:rPr>
        <w:drawing>
          <wp:inline distT="0" distB="0" distL="0" distR="0">
            <wp:extent cx="4968240" cy="2552065"/>
            <wp:effectExtent l="0" t="0" r="3810" b="635"/>
            <wp:docPr id="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5"/>
                    <pic:cNvPicPr>
                      <a:picLocks noChangeAspect="1" noChangeArrowheads="1"/>
                    </pic:cNvPicPr>
                  </pic:nvPicPr>
                  <pic:blipFill>
                    <a:blip r:embed="rId10" cstate="print"/>
                    <a:srcRect/>
                    <a:stretch>
                      <a:fillRect/>
                    </a:stretch>
                  </pic:blipFill>
                  <pic:spPr>
                    <a:xfrm>
                      <a:off x="0" y="0"/>
                      <a:ext cx="4968240" cy="2552065"/>
                    </a:xfrm>
                    <a:prstGeom prst="rect">
                      <a:avLst/>
                    </a:prstGeom>
                    <a:noFill/>
                    <a:ln w="9525">
                      <a:noFill/>
                      <a:miter lim="800000"/>
                      <a:headEnd/>
                      <a:tailEn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图4 真空盛气筒和奶水分离器检查</w:t>
      </w:r>
    </w:p>
    <w:p>
      <w:pPr>
        <w:spacing w:beforeLines="50" w:afterLines="50" w:line="360" w:lineRule="auto"/>
        <w:ind w:firstLine="480" w:firstLineChars="200"/>
        <w:contextualSpacing/>
        <w:rPr>
          <w:sz w:val="24"/>
        </w:rPr>
      </w:pPr>
    </w:p>
    <w:p>
      <w:pPr>
        <w:spacing w:beforeLines="50" w:afterLines="50" w:line="360" w:lineRule="auto"/>
        <w:ind w:firstLine="420" w:firstLineChars="200"/>
        <w:contextualSpacing/>
        <w:jc w:val="center"/>
        <w:rPr>
          <w:sz w:val="24"/>
        </w:rPr>
      </w:pPr>
      <w:r>
        <w:rPr>
          <w:kern w:val="0"/>
          <w:szCs w:val="21"/>
        </w:rPr>
        <w:drawing>
          <wp:inline distT="0" distB="0" distL="0" distR="0">
            <wp:extent cx="4620895" cy="2547620"/>
            <wp:effectExtent l="0" t="0" r="8255" b="5080"/>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noChangeArrowheads="1"/>
                    </pic:cNvPicPr>
                  </pic:nvPicPr>
                  <pic:blipFill>
                    <a:blip r:embed="rId11" cstate="print"/>
                    <a:srcRect/>
                    <a:stretch>
                      <a:fillRect/>
                    </a:stretch>
                  </pic:blipFill>
                  <pic:spPr>
                    <a:xfrm>
                      <a:off x="0" y="0"/>
                      <a:ext cx="4620895" cy="2547620"/>
                    </a:xfrm>
                    <a:prstGeom prst="rect">
                      <a:avLst/>
                    </a:prstGeom>
                    <a:noFill/>
                    <a:ln w="9525">
                      <a:noFill/>
                      <a:miter lim="800000"/>
                      <a:headEnd/>
                      <a:tailEn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图5 贮奶罐上方罐盖，应常处于密闭状态</w:t>
      </w:r>
    </w:p>
    <w:p>
      <w:pPr>
        <w:spacing w:beforeLines="50" w:afterLines="50"/>
        <w:rPr>
          <w:rFonts w:ascii="黑体" w:hAnsi="黑体" w:eastAsia="黑体" w:cs="黑体"/>
          <w:bCs/>
          <w:color w:val="000000"/>
          <w:sz w:val="22"/>
          <w:szCs w:val="22"/>
        </w:rPr>
      </w:pPr>
      <w:r>
        <w:rPr>
          <w:rFonts w:hint="eastAsia" w:ascii="黑体" w:hAnsi="黑体" w:eastAsia="黑体" w:cs="黑体"/>
          <w:bCs/>
          <w:color w:val="000000"/>
          <w:sz w:val="22"/>
          <w:szCs w:val="22"/>
        </w:rPr>
        <w:t>6、清洗消毒效果验证</w:t>
      </w:r>
    </w:p>
    <w:p>
      <w:pPr>
        <w:spacing w:line="360" w:lineRule="auto"/>
        <w:ind w:firstLine="440" w:firstLineChars="200"/>
        <w:rPr>
          <w:sz w:val="22"/>
          <w:szCs w:val="22"/>
        </w:rPr>
      </w:pPr>
      <w:r>
        <w:rPr>
          <w:rFonts w:eastAsia="黑体"/>
          <w:sz w:val="22"/>
          <w:szCs w:val="22"/>
        </w:rPr>
        <w:t xml:space="preserve"> </w:t>
      </w:r>
      <w:r>
        <w:rPr>
          <w:sz w:val="22"/>
          <w:szCs w:val="22"/>
        </w:rPr>
        <w:t>清洗消毒结束后对清洗消毒效果的检测评定直接关系到产品的质量安全，同时，清洗消毒工艺的优化也需要以清洗消毒效果为评判依据，所以清洗消毒效果的检测是清洗消毒工艺中重要的一环节。目前，乳品行业常用的清洗消毒效果</w:t>
      </w:r>
      <w:r>
        <w:rPr>
          <w:rFonts w:hint="eastAsia"/>
          <w:sz w:val="22"/>
          <w:szCs w:val="22"/>
        </w:rPr>
        <w:t>验证</w:t>
      </w:r>
      <w:r>
        <w:rPr>
          <w:sz w:val="22"/>
          <w:szCs w:val="22"/>
        </w:rPr>
        <w:t>方法</w:t>
      </w:r>
      <w:r>
        <w:rPr>
          <w:rFonts w:hint="eastAsia"/>
          <w:sz w:val="22"/>
          <w:szCs w:val="22"/>
        </w:rPr>
        <w:t>常感官检验、理化检验（pH和游离性余氯检测）和微生物检验（洁净度检测和菌落总数检测）结合进行。</w:t>
      </w:r>
    </w:p>
    <w:p>
      <w:pPr>
        <w:spacing w:line="360" w:lineRule="auto"/>
        <w:ind w:firstLine="420"/>
        <w:rPr>
          <w:b/>
          <w:sz w:val="22"/>
          <w:szCs w:val="22"/>
        </w:rPr>
      </w:pPr>
      <w:r>
        <w:rPr>
          <w:b/>
          <w:sz w:val="22"/>
          <w:szCs w:val="22"/>
        </w:rPr>
        <w:t xml:space="preserve">6.1 </w:t>
      </w:r>
      <w:r>
        <w:rPr>
          <w:rFonts w:hint="eastAsia"/>
          <w:b/>
          <w:sz w:val="22"/>
          <w:szCs w:val="22"/>
        </w:rPr>
        <w:t>一般要求</w:t>
      </w:r>
    </w:p>
    <w:p>
      <w:pPr>
        <w:spacing w:line="360" w:lineRule="auto"/>
        <w:ind w:firstLine="420"/>
        <w:rPr>
          <w:b/>
          <w:bCs/>
          <w:color w:val="000000"/>
          <w:sz w:val="22"/>
          <w:szCs w:val="22"/>
        </w:rPr>
      </w:pPr>
      <w:r>
        <w:rPr>
          <w:rFonts w:hint="eastAsia"/>
          <w:b/>
          <w:sz w:val="22"/>
          <w:szCs w:val="22"/>
        </w:rPr>
        <w:t>标准内容</w:t>
      </w:r>
      <w:r>
        <w:rPr>
          <w:b/>
          <w:bCs/>
          <w:color w:val="000000"/>
          <w:sz w:val="22"/>
          <w:szCs w:val="22"/>
        </w:rPr>
        <w:t>6.8.1</w:t>
      </w:r>
    </w:p>
    <w:p>
      <w:pPr>
        <w:spacing w:line="360" w:lineRule="auto"/>
        <w:ind w:firstLine="420"/>
        <w:rPr>
          <w:sz w:val="22"/>
          <w:szCs w:val="22"/>
        </w:rPr>
      </w:pPr>
      <w:r>
        <w:rPr>
          <w:sz w:val="22"/>
          <w:szCs w:val="22"/>
        </w:rPr>
        <w:t>奶畜养殖场应根据实际情况设置验证和效果评价限值。每次碱洗后应取设备管道出口水开展感官检验、pH及游离性余氯检测；每次酸洗后应进行感官检验及pH检测。</w:t>
      </w:r>
    </w:p>
    <w:p>
      <w:pPr>
        <w:spacing w:line="360" w:lineRule="auto"/>
        <w:ind w:firstLine="420"/>
        <w:rPr>
          <w:b/>
          <w:bCs/>
          <w:sz w:val="22"/>
          <w:szCs w:val="22"/>
        </w:rPr>
      </w:pPr>
      <w:r>
        <w:rPr>
          <w:b/>
          <w:bCs/>
          <w:sz w:val="22"/>
          <w:szCs w:val="22"/>
        </w:rPr>
        <w:t>理由及依据：</w:t>
      </w:r>
    </w:p>
    <w:p>
      <w:pPr>
        <w:spacing w:line="360" w:lineRule="auto"/>
        <w:ind w:firstLine="440" w:firstLineChars="200"/>
        <w:rPr>
          <w:sz w:val="22"/>
          <w:szCs w:val="22"/>
        </w:rPr>
      </w:pPr>
      <w:r>
        <w:rPr>
          <w:sz w:val="22"/>
          <w:szCs w:val="22"/>
        </w:rPr>
        <w:t>验证和效果评价限值需要根据奶畜养殖场的实际情况设置。每次碱洗后应取设备管道出口水开展感官检验、pH及游离性余氯检测</w:t>
      </w:r>
      <w:r>
        <w:rPr>
          <w:rFonts w:hint="eastAsia"/>
          <w:sz w:val="22"/>
          <w:szCs w:val="22"/>
        </w:rPr>
        <w:t>的清洗消毒效果评价</w:t>
      </w:r>
      <w:r>
        <w:rPr>
          <w:sz w:val="22"/>
          <w:szCs w:val="22"/>
        </w:rPr>
        <w:t>，如果</w:t>
      </w:r>
      <w:r>
        <w:rPr>
          <w:rFonts w:hint="eastAsia"/>
          <w:sz w:val="22"/>
          <w:szCs w:val="22"/>
        </w:rPr>
        <w:t>评价</w:t>
      </w:r>
      <w:r>
        <w:rPr>
          <w:sz w:val="22"/>
          <w:szCs w:val="22"/>
        </w:rPr>
        <w:t>合格，则按照</w:t>
      </w:r>
      <w:r>
        <w:rPr>
          <w:rFonts w:hint="eastAsia"/>
          <w:sz w:val="22"/>
          <w:szCs w:val="22"/>
        </w:rPr>
        <w:t>流程</w:t>
      </w:r>
      <w:r>
        <w:rPr>
          <w:sz w:val="22"/>
          <w:szCs w:val="22"/>
        </w:rPr>
        <w:t>图1进行</w:t>
      </w:r>
      <w:r>
        <w:rPr>
          <w:rFonts w:hint="eastAsia"/>
          <w:sz w:val="22"/>
          <w:szCs w:val="22"/>
        </w:rPr>
        <w:t>热水消毒及</w:t>
      </w:r>
      <w:r>
        <w:rPr>
          <w:sz w:val="22"/>
          <w:szCs w:val="22"/>
        </w:rPr>
        <w:t>微生物检测效果评价，否则重新</w:t>
      </w:r>
      <w:r>
        <w:rPr>
          <w:rFonts w:hint="eastAsia"/>
          <w:sz w:val="22"/>
          <w:szCs w:val="22"/>
        </w:rPr>
        <w:t>进行设备</w:t>
      </w:r>
      <w:r>
        <w:rPr>
          <w:sz w:val="22"/>
          <w:szCs w:val="22"/>
        </w:rPr>
        <w:t>后冲洗直至评价合格。此外，每次酸洗后应进行感官检验及pH检测</w:t>
      </w:r>
      <w:r>
        <w:rPr>
          <w:rFonts w:hint="eastAsia"/>
          <w:sz w:val="22"/>
          <w:szCs w:val="22"/>
        </w:rPr>
        <w:t>的清洗消毒效果评价</w:t>
      </w:r>
      <w:r>
        <w:rPr>
          <w:sz w:val="22"/>
          <w:szCs w:val="22"/>
        </w:rPr>
        <w:t>，如果</w:t>
      </w:r>
      <w:r>
        <w:rPr>
          <w:rFonts w:hint="eastAsia"/>
          <w:sz w:val="22"/>
          <w:szCs w:val="22"/>
        </w:rPr>
        <w:t>评价</w:t>
      </w:r>
      <w:r>
        <w:rPr>
          <w:sz w:val="22"/>
          <w:szCs w:val="22"/>
        </w:rPr>
        <w:t>合格，则按照图1进行</w:t>
      </w:r>
      <w:r>
        <w:rPr>
          <w:rFonts w:hint="eastAsia"/>
          <w:sz w:val="22"/>
          <w:szCs w:val="22"/>
        </w:rPr>
        <w:t>热水消毒及</w:t>
      </w:r>
      <w:r>
        <w:rPr>
          <w:sz w:val="22"/>
          <w:szCs w:val="22"/>
        </w:rPr>
        <w:t>微生物检测效果评价，否则</w:t>
      </w:r>
      <w:r>
        <w:rPr>
          <w:rFonts w:hint="eastAsia"/>
          <w:sz w:val="22"/>
          <w:szCs w:val="22"/>
        </w:rPr>
        <w:t>设备重新进行</w:t>
      </w:r>
      <w:r>
        <w:rPr>
          <w:sz w:val="22"/>
          <w:szCs w:val="22"/>
        </w:rPr>
        <w:t>后冲洗直至评价合格。</w:t>
      </w:r>
    </w:p>
    <w:p>
      <w:pPr>
        <w:spacing w:line="360" w:lineRule="auto"/>
        <w:ind w:firstLine="420"/>
        <w:rPr>
          <w:b/>
          <w:sz w:val="22"/>
          <w:szCs w:val="22"/>
        </w:rPr>
      </w:pPr>
      <w:r>
        <w:rPr>
          <w:b/>
          <w:sz w:val="22"/>
          <w:szCs w:val="22"/>
        </w:rPr>
        <w:t xml:space="preserve">6.2 </w:t>
      </w:r>
      <w:r>
        <w:rPr>
          <w:rFonts w:hint="eastAsia"/>
          <w:b/>
          <w:sz w:val="22"/>
          <w:szCs w:val="22"/>
        </w:rPr>
        <w:t>感官检验</w:t>
      </w:r>
    </w:p>
    <w:p>
      <w:pPr>
        <w:spacing w:line="360" w:lineRule="auto"/>
        <w:ind w:firstLine="420"/>
        <w:rPr>
          <w:b/>
          <w:sz w:val="22"/>
          <w:szCs w:val="22"/>
        </w:rPr>
      </w:pPr>
      <w:r>
        <w:rPr>
          <w:rFonts w:hint="eastAsia"/>
          <w:b/>
          <w:sz w:val="22"/>
          <w:szCs w:val="22"/>
        </w:rPr>
        <w:t>标准内容</w:t>
      </w:r>
      <w:r>
        <w:rPr>
          <w:b/>
          <w:bCs/>
          <w:color w:val="000000"/>
          <w:sz w:val="22"/>
          <w:szCs w:val="22"/>
        </w:rPr>
        <w:t>6.8.2</w:t>
      </w:r>
    </w:p>
    <w:p>
      <w:pPr>
        <w:spacing w:line="360" w:lineRule="auto"/>
        <w:ind w:firstLine="420"/>
        <w:rPr>
          <w:sz w:val="22"/>
          <w:szCs w:val="22"/>
        </w:rPr>
      </w:pPr>
      <w:r>
        <w:rPr>
          <w:sz w:val="22"/>
          <w:szCs w:val="22"/>
        </w:rPr>
        <w:t>设备管道清洗完毕后，管道出口水应无正常视力可见异物、无异味、无异色，否则按6.5规定进行后冲洗。</w:t>
      </w:r>
    </w:p>
    <w:p>
      <w:pPr>
        <w:spacing w:line="360" w:lineRule="auto"/>
        <w:ind w:firstLine="420"/>
        <w:rPr>
          <w:b/>
          <w:sz w:val="22"/>
          <w:szCs w:val="22"/>
        </w:rPr>
      </w:pPr>
      <w:r>
        <w:rPr>
          <w:rFonts w:hint="eastAsia"/>
          <w:b/>
          <w:sz w:val="22"/>
          <w:szCs w:val="22"/>
        </w:rPr>
        <w:t>理由及依据：</w:t>
      </w:r>
    </w:p>
    <w:p>
      <w:pPr>
        <w:spacing w:line="360" w:lineRule="auto"/>
        <w:ind w:firstLine="440" w:firstLineChars="200"/>
        <w:rPr>
          <w:sz w:val="22"/>
          <w:szCs w:val="22"/>
        </w:rPr>
      </w:pPr>
      <w:r>
        <w:rPr>
          <w:sz w:val="22"/>
          <w:szCs w:val="22"/>
        </w:rPr>
        <w:t>清洗消毒完成后，要对清洗消毒效果进行验证。一般牧场常用的感官检查方法是闻设备表面是否有异味，看是否有异色或异物。当发现异常时，应及时重启清洗消毒程序。</w:t>
      </w:r>
    </w:p>
    <w:p>
      <w:pPr>
        <w:spacing w:line="360" w:lineRule="auto"/>
        <w:ind w:firstLine="420"/>
        <w:rPr>
          <w:b/>
          <w:sz w:val="22"/>
          <w:szCs w:val="22"/>
        </w:rPr>
      </w:pPr>
      <w:r>
        <w:rPr>
          <w:b/>
          <w:sz w:val="22"/>
          <w:szCs w:val="22"/>
        </w:rPr>
        <w:t xml:space="preserve">6.3 </w:t>
      </w:r>
      <w:r>
        <w:rPr>
          <w:rFonts w:hint="eastAsia"/>
          <w:b/>
          <w:sz w:val="22"/>
          <w:szCs w:val="22"/>
        </w:rPr>
        <w:t>微生物检验</w:t>
      </w:r>
    </w:p>
    <w:p>
      <w:pPr>
        <w:spacing w:line="360" w:lineRule="auto"/>
        <w:ind w:firstLine="420"/>
        <w:rPr>
          <w:b/>
          <w:sz w:val="22"/>
          <w:szCs w:val="22"/>
        </w:rPr>
      </w:pPr>
      <w:r>
        <w:rPr>
          <w:rFonts w:hint="eastAsia"/>
          <w:b/>
          <w:sz w:val="22"/>
          <w:szCs w:val="22"/>
        </w:rPr>
        <w:t>标准内容</w:t>
      </w:r>
      <w:r>
        <w:rPr>
          <w:b/>
          <w:bCs/>
          <w:color w:val="000000"/>
          <w:sz w:val="22"/>
          <w:szCs w:val="22"/>
        </w:rPr>
        <w:t>6.8.5</w:t>
      </w:r>
    </w:p>
    <w:p>
      <w:pPr>
        <w:spacing w:line="360" w:lineRule="auto"/>
        <w:ind w:firstLine="420"/>
        <w:rPr>
          <w:sz w:val="22"/>
          <w:szCs w:val="22"/>
        </w:rPr>
      </w:pPr>
      <w:r>
        <w:rPr>
          <w:rFonts w:hint="eastAsia"/>
          <w:sz w:val="22"/>
          <w:szCs w:val="22"/>
          <w:lang w:val="en-US" w:eastAsia="zh-CN"/>
        </w:rPr>
        <w:t>6.8.5.1</w:t>
      </w:r>
      <w:r>
        <w:rPr>
          <w:sz w:val="22"/>
          <w:szCs w:val="22"/>
        </w:rPr>
        <w:t>热水消毒后，每次应对管道接触表面进行洁净度检测（见附录A中A.4.1），结果限值参考相关产品要求，否则应重新进行清洗消毒处理，直至达到要求；</w:t>
      </w:r>
    </w:p>
    <w:p>
      <w:pPr>
        <w:spacing w:line="360" w:lineRule="auto"/>
        <w:ind w:firstLine="420"/>
        <w:rPr>
          <w:sz w:val="22"/>
          <w:szCs w:val="22"/>
        </w:rPr>
      </w:pPr>
      <w:r>
        <w:rPr>
          <w:rFonts w:hint="eastAsia"/>
          <w:sz w:val="22"/>
          <w:szCs w:val="22"/>
          <w:lang w:val="en-US" w:eastAsia="zh-CN"/>
        </w:rPr>
        <w:t>6.8.5.2</w:t>
      </w:r>
      <w:r>
        <w:rPr>
          <w:rFonts w:hint="eastAsia"/>
          <w:sz w:val="22"/>
          <w:szCs w:val="22"/>
        </w:rPr>
        <w:t>必要时</w:t>
      </w:r>
      <w:r>
        <w:rPr>
          <w:sz w:val="22"/>
          <w:szCs w:val="22"/>
        </w:rPr>
        <w:t>应对设备管道接触表面进行菌落总数检测（见A.4.2）。当检测结果中菌落总数＞50 CFU/cm</w:t>
      </w:r>
      <w:r>
        <w:rPr>
          <w:sz w:val="22"/>
          <w:szCs w:val="22"/>
          <w:vertAlign w:val="superscript"/>
        </w:rPr>
        <w:t>2</w:t>
      </w:r>
      <w:r>
        <w:rPr>
          <w:sz w:val="22"/>
          <w:szCs w:val="22"/>
        </w:rPr>
        <w:t>，应重新进行清洗消毒处理，直至达到要求。。</w:t>
      </w:r>
    </w:p>
    <w:p>
      <w:pPr>
        <w:spacing w:line="360" w:lineRule="auto"/>
        <w:ind w:firstLine="420"/>
        <w:rPr>
          <w:b/>
          <w:sz w:val="22"/>
          <w:szCs w:val="22"/>
        </w:rPr>
      </w:pPr>
      <w:r>
        <w:rPr>
          <w:rFonts w:hint="eastAsia"/>
          <w:b/>
          <w:sz w:val="22"/>
          <w:szCs w:val="22"/>
        </w:rPr>
        <w:t>理由及依据：</w:t>
      </w:r>
    </w:p>
    <w:p>
      <w:pPr>
        <w:spacing w:line="360" w:lineRule="auto"/>
        <w:ind w:firstLine="420"/>
        <w:rPr>
          <w:sz w:val="22"/>
          <w:szCs w:val="22"/>
        </w:rPr>
      </w:pPr>
      <w:r>
        <w:rPr>
          <w:rFonts w:hint="eastAsia"/>
          <w:sz w:val="22"/>
          <w:szCs w:val="22"/>
        </w:rPr>
        <w:t>微生物监控是确保生乳安全的重要手段，是验证或评估清洗消毒程序的有效性，确保挤奶、储奶过程生乳质量和安全的工具。微生物监控对象一般可以包括与奶液直接接触的设备容器表面或者管道内侧、管口、与奶液接触表面邻近的接触表面等。</w:t>
      </w:r>
    </w:p>
    <w:p>
      <w:pPr>
        <w:spacing w:line="360" w:lineRule="auto"/>
        <w:ind w:firstLine="420"/>
        <w:rPr>
          <w:sz w:val="22"/>
          <w:szCs w:val="22"/>
        </w:rPr>
      </w:pPr>
      <w:r>
        <w:rPr>
          <w:rFonts w:hint="eastAsia"/>
          <w:sz w:val="22"/>
          <w:szCs w:val="22"/>
        </w:rPr>
        <w:t>微生物涂抹是在清洗消毒后用无菌棉签或无菌涂抹纸在既定的检测位置进行涂抹，然后进行平板计数，确定清洗消毒效果。三磷酸腺苷生物发光法（</w:t>
      </w:r>
      <w:r>
        <w:rPr>
          <w:sz w:val="22"/>
          <w:szCs w:val="22"/>
        </w:rPr>
        <w:t>ATP</w:t>
      </w:r>
      <w:r>
        <w:rPr>
          <w:rFonts w:hint="eastAsia"/>
          <w:sz w:val="22"/>
          <w:szCs w:val="22"/>
        </w:rPr>
        <w:t>快速检测）研究始于</w:t>
      </w:r>
      <w:r>
        <w:rPr>
          <w:sz w:val="22"/>
          <w:szCs w:val="22"/>
        </w:rPr>
        <w:t>20</w:t>
      </w:r>
      <w:r>
        <w:rPr>
          <w:rFonts w:hint="eastAsia"/>
          <w:sz w:val="22"/>
          <w:szCs w:val="22"/>
        </w:rPr>
        <w:t>世纪</w:t>
      </w:r>
      <w:r>
        <w:rPr>
          <w:sz w:val="22"/>
          <w:szCs w:val="22"/>
        </w:rPr>
        <w:t>60</w:t>
      </w:r>
      <w:r>
        <w:rPr>
          <w:rFonts w:hint="eastAsia"/>
          <w:sz w:val="22"/>
          <w:szCs w:val="22"/>
        </w:rPr>
        <w:t>年代，</w:t>
      </w:r>
      <w:r>
        <w:rPr>
          <w:sz w:val="22"/>
          <w:szCs w:val="22"/>
        </w:rPr>
        <w:t>1996</w:t>
      </w:r>
      <w:r>
        <w:rPr>
          <w:rFonts w:hint="eastAsia"/>
          <w:sz w:val="22"/>
          <w:szCs w:val="22"/>
        </w:rPr>
        <w:t>年英国</w:t>
      </w:r>
      <w:r>
        <w:rPr>
          <w:sz w:val="22"/>
          <w:szCs w:val="22"/>
        </w:rPr>
        <w:t>1/3</w:t>
      </w:r>
      <w:r>
        <w:rPr>
          <w:rFonts w:hint="eastAsia"/>
          <w:sz w:val="22"/>
          <w:szCs w:val="22"/>
        </w:rPr>
        <w:t>食品企业使用</w:t>
      </w:r>
      <w:r>
        <w:rPr>
          <w:sz w:val="22"/>
          <w:szCs w:val="22"/>
        </w:rPr>
        <w:t>ATP</w:t>
      </w:r>
      <w:r>
        <w:rPr>
          <w:rFonts w:hint="eastAsia"/>
          <w:sz w:val="22"/>
          <w:szCs w:val="22"/>
        </w:rPr>
        <w:t>检测技术，</w:t>
      </w:r>
      <w:r>
        <w:rPr>
          <w:sz w:val="22"/>
          <w:szCs w:val="22"/>
        </w:rPr>
        <w:t>1998</w:t>
      </w:r>
      <w:r>
        <w:rPr>
          <w:rFonts w:hint="eastAsia"/>
          <w:sz w:val="22"/>
          <w:szCs w:val="22"/>
        </w:rPr>
        <w:t>年日本颁布《关于食品制造过程管理高度化临时措施法》，包含了</w:t>
      </w:r>
      <w:r>
        <w:rPr>
          <w:sz w:val="22"/>
          <w:szCs w:val="22"/>
        </w:rPr>
        <w:t>ATP</w:t>
      </w:r>
      <w:r>
        <w:rPr>
          <w:rFonts w:hint="eastAsia"/>
          <w:sz w:val="22"/>
          <w:szCs w:val="22"/>
        </w:rPr>
        <w:t>检测仪的应用。直到</w:t>
      </w:r>
      <w:r>
        <w:rPr>
          <w:sz w:val="22"/>
          <w:szCs w:val="22"/>
        </w:rPr>
        <w:t>20</w:t>
      </w:r>
      <w:r>
        <w:rPr>
          <w:rFonts w:hint="eastAsia"/>
          <w:sz w:val="22"/>
          <w:szCs w:val="22"/>
        </w:rPr>
        <w:t>世纪末，</w:t>
      </w:r>
      <w:r>
        <w:rPr>
          <w:sz w:val="22"/>
          <w:szCs w:val="22"/>
        </w:rPr>
        <w:t>ATP</w:t>
      </w:r>
      <w:r>
        <w:rPr>
          <w:rFonts w:hint="eastAsia"/>
          <w:sz w:val="22"/>
          <w:szCs w:val="22"/>
        </w:rPr>
        <w:t>检测仪及技术才被引进我国。</w:t>
      </w:r>
      <w:r>
        <w:rPr>
          <w:sz w:val="22"/>
          <w:szCs w:val="22"/>
        </w:rPr>
        <w:t>2002</w:t>
      </w:r>
      <w:r>
        <w:rPr>
          <w:rFonts w:hint="eastAsia"/>
          <w:sz w:val="22"/>
          <w:szCs w:val="22"/>
        </w:rPr>
        <w:t>年，我国卫生部颁发了《食品加工企业的</w:t>
      </w:r>
      <w:r>
        <w:rPr>
          <w:sz w:val="22"/>
          <w:szCs w:val="22"/>
        </w:rPr>
        <w:t>HACCP</w:t>
      </w:r>
      <w:r>
        <w:rPr>
          <w:rFonts w:hint="eastAsia"/>
          <w:sz w:val="22"/>
          <w:szCs w:val="22"/>
        </w:rPr>
        <w:t>实施指南》，鼓励食品加工企业引入</w:t>
      </w:r>
      <w:r>
        <w:rPr>
          <w:sz w:val="22"/>
          <w:szCs w:val="22"/>
        </w:rPr>
        <w:t>ATP</w:t>
      </w:r>
      <w:r>
        <w:rPr>
          <w:rFonts w:hint="eastAsia"/>
          <w:sz w:val="22"/>
          <w:szCs w:val="22"/>
        </w:rPr>
        <w:t>检测系统。</w:t>
      </w:r>
      <w:r>
        <w:rPr>
          <w:sz w:val="22"/>
          <w:szCs w:val="22"/>
        </w:rPr>
        <w:t>ATP荧光检测仪基于萤火虫发光原理，利用</w:t>
      </w:r>
      <w:r>
        <w:rPr>
          <w:rFonts w:hint="eastAsia"/>
          <w:sz w:val="22"/>
          <w:szCs w:val="22"/>
        </w:rPr>
        <w:t>“</w:t>
      </w:r>
      <w:r>
        <w:rPr>
          <w:sz w:val="22"/>
          <w:szCs w:val="22"/>
        </w:rPr>
        <w:t>荧光素酶—荧光素体系</w:t>
      </w:r>
      <w:r>
        <w:rPr>
          <w:rFonts w:hint="eastAsia"/>
          <w:sz w:val="22"/>
          <w:szCs w:val="22"/>
        </w:rPr>
        <w:t xml:space="preserve"> ”</w:t>
      </w:r>
      <w:r>
        <w:rPr>
          <w:sz w:val="22"/>
          <w:szCs w:val="22"/>
        </w:rPr>
        <w:t>快速检测三磷酸腺苷（ATP）</w:t>
      </w:r>
      <w:r>
        <w:rPr>
          <w:rFonts w:hint="eastAsia"/>
          <w:sz w:val="22"/>
          <w:szCs w:val="22"/>
        </w:rPr>
        <w:t>。</w:t>
      </w:r>
      <w:r>
        <w:rPr>
          <w:sz w:val="22"/>
          <w:szCs w:val="22"/>
        </w:rPr>
        <w:t>由于所有生物活细胞中含有恒量的ATP，所以ATP含量可以清晰地表明样品中微生物与其他生物残余的多少，用于判断卫生状况。</w:t>
      </w:r>
      <w:r>
        <w:rPr>
          <w:rFonts w:hint="eastAsia"/>
          <w:sz w:val="22"/>
          <w:szCs w:val="22"/>
        </w:rPr>
        <w:t>在食品加工前，它通过对食品加工设备及器具表面的检测来有效评估卫生清洁的效果，从而将可能引入的微生物污染的风险降至最低。该方法操作简单，且灵敏度高，可以在较短时间内快速得到检测结果，所以广泛应用于食品行业。</w:t>
      </w:r>
    </w:p>
    <w:p>
      <w:pPr>
        <w:spacing w:beforeLines="50" w:afterLines="50" w:line="360" w:lineRule="auto"/>
        <w:ind w:firstLine="440" w:firstLineChars="200"/>
        <w:contextualSpacing/>
        <w:rPr>
          <w:sz w:val="22"/>
          <w:szCs w:val="22"/>
        </w:rPr>
      </w:pPr>
      <w:r>
        <w:rPr>
          <w:rFonts w:hint="eastAsia"/>
          <w:sz w:val="22"/>
          <w:szCs w:val="22"/>
        </w:rPr>
        <w:t>目前，微生物监控应包括微生物监控指标、取样点、监控频率、取样和检测方法、评判原则以及不符合情况的处理等。牧场清洗主要考量洁净度，监控微生物指标可以考察卫生指示菌，比如菌落总数残留量。微生物的监控频率应基于污染可能发生的风险来制定，清洗过的挤奶及储奶设备每周应至少开展一次清洗效果验证，可根据牧场管理的相关经验和专业知识或者积累的历史数据来确定合理的监控频次。</w:t>
      </w:r>
    </w:p>
    <w:p>
      <w:pPr>
        <w:spacing w:beforeLines="50" w:afterLines="50" w:line="360" w:lineRule="auto"/>
        <w:ind w:firstLine="440" w:firstLineChars="200"/>
        <w:contextualSpacing/>
        <w:rPr>
          <w:sz w:val="22"/>
          <w:szCs w:val="22"/>
        </w:rPr>
      </w:pPr>
      <w:r>
        <w:rPr>
          <w:rFonts w:hint="eastAsia"/>
          <w:sz w:val="22"/>
          <w:szCs w:val="22"/>
        </w:rPr>
        <w:t>微生物检测方法的选择应基于监控指标进行选择，考虑到生乳作为原料乳需要进一步的加工，主要以控制微生物指标菌落总数为主。本标准考虑将洁净度检测快检法（常规检测）和微生物菌落总数测定方法（必要时进行）相结合，规定了与生乳接触的设备表面监控通常以涂抹法取样为主。本标准中增加资料性附录</w:t>
      </w:r>
      <w:r>
        <w:rPr>
          <w:sz w:val="22"/>
          <w:szCs w:val="22"/>
        </w:rPr>
        <w:t>A</w:t>
      </w:r>
      <w:r>
        <w:rPr>
          <w:rFonts w:hint="eastAsia"/>
          <w:sz w:val="22"/>
          <w:szCs w:val="22"/>
        </w:rPr>
        <w:t>涂抹法采样及检测管道和容器各个不同位点中洁净度及菌落总数的方法，从而便于监测挤奶及储奶设备清洗消毒的效果。</w:t>
      </w:r>
    </w:p>
    <w:p>
      <w:pPr>
        <w:spacing w:beforeLines="50" w:afterLines="50" w:line="360" w:lineRule="auto"/>
        <w:ind w:firstLine="440" w:firstLineChars="200"/>
        <w:contextualSpacing/>
        <w:rPr>
          <w:color w:val="auto"/>
          <w:sz w:val="22"/>
          <w:szCs w:val="22"/>
        </w:rPr>
      </w:pPr>
      <w:r>
        <w:rPr>
          <w:rFonts w:hint="eastAsia"/>
          <w:sz w:val="22"/>
          <w:szCs w:val="22"/>
        </w:rPr>
        <w:t>本文件在附录</w:t>
      </w:r>
      <w:r>
        <w:rPr>
          <w:sz w:val="22"/>
          <w:szCs w:val="22"/>
        </w:rPr>
        <w:t>A</w:t>
      </w:r>
      <w:r>
        <w:rPr>
          <w:rFonts w:hint="eastAsia"/>
          <w:sz w:val="22"/>
          <w:szCs w:val="22"/>
        </w:rPr>
        <w:t>中规定了涂抹法采样方法、管道和容器内采样部位及采样数量的设置以及两种检测方法的采样方式及测定要求，为验证清洗消毒的效果提供技术参考。ATP快检</w:t>
      </w:r>
      <w:r>
        <w:rPr>
          <w:rFonts w:hint="eastAsia"/>
          <w:color w:val="auto"/>
          <w:sz w:val="22"/>
          <w:szCs w:val="22"/>
        </w:rPr>
        <w:t>法测定采用</w:t>
      </w:r>
      <w:r>
        <w:rPr>
          <w:color w:val="auto"/>
          <w:sz w:val="22"/>
          <w:szCs w:val="22"/>
        </w:rPr>
        <w:t>GB/T 36004</w:t>
      </w:r>
      <w:r>
        <w:rPr>
          <w:rFonts w:hint="eastAsia"/>
          <w:color w:val="auto"/>
          <w:sz w:val="22"/>
          <w:szCs w:val="22"/>
        </w:rPr>
        <w:t>《食品接触表面清洗消毒效果试验方法 三磷酸腺苷生物发光法》，该方法的特点是简便快捷易操作，但误差比较大，且成本较高。而常规的菌落总数测定采用</w:t>
      </w:r>
      <w:r>
        <w:rPr>
          <w:color w:val="auto"/>
          <w:sz w:val="22"/>
          <w:szCs w:val="22"/>
        </w:rPr>
        <w:t>GB</w:t>
      </w:r>
      <w:r>
        <w:rPr>
          <w:rFonts w:hint="eastAsia"/>
          <w:color w:val="auto"/>
          <w:sz w:val="22"/>
          <w:szCs w:val="22"/>
        </w:rPr>
        <w:t xml:space="preserve"> </w:t>
      </w:r>
      <w:r>
        <w:rPr>
          <w:color w:val="auto"/>
          <w:sz w:val="22"/>
          <w:szCs w:val="22"/>
        </w:rPr>
        <w:t>4789.2</w:t>
      </w:r>
      <w:r>
        <w:rPr>
          <w:rFonts w:hint="eastAsia"/>
          <w:color w:val="auto"/>
          <w:sz w:val="22"/>
          <w:szCs w:val="22"/>
        </w:rPr>
        <w:t>《食品安全国家标准 食品微生物学检验 菌落总数测定》，该法耗时长，可每周一次或者当生乳中菌落总数等微生物指标明显上升，需要查找原因时采用该方法，涂抹采样点覆盖的多一些。而且两种方法相互印证，从而更好的验证清洗消毒效果。</w:t>
      </w:r>
    </w:p>
    <w:p>
      <w:pPr>
        <w:spacing w:line="360" w:lineRule="auto"/>
        <w:ind w:firstLine="440" w:firstLineChars="200"/>
        <w:rPr>
          <w:sz w:val="22"/>
          <w:szCs w:val="22"/>
        </w:rPr>
      </w:pPr>
      <w:r>
        <w:rPr>
          <w:rFonts w:hint="eastAsia"/>
          <w:sz w:val="22"/>
          <w:szCs w:val="22"/>
        </w:rPr>
        <w:t>监控指标推荐限值：应依据一定的监控指标限值进行评判，监控指标限值可基于微生物控制的效果以及对生乳质量和安全性的影响来确定。本标准主要参考了</w:t>
      </w:r>
      <w:r>
        <w:rPr>
          <w:sz w:val="22"/>
          <w:szCs w:val="22"/>
        </w:rPr>
        <w:t>GB 14881-2013</w:t>
      </w:r>
      <w:r>
        <w:rPr>
          <w:rFonts w:hint="eastAsia"/>
          <w:sz w:val="22"/>
          <w:szCs w:val="22"/>
        </w:rPr>
        <w:t>《食品安全国家标准</w:t>
      </w:r>
      <w:r>
        <w:rPr>
          <w:sz w:val="22"/>
          <w:szCs w:val="22"/>
        </w:rPr>
        <w:t xml:space="preserve"> </w:t>
      </w:r>
      <w:r>
        <w:rPr>
          <w:rFonts w:hint="eastAsia"/>
          <w:sz w:val="22"/>
          <w:szCs w:val="22"/>
        </w:rPr>
        <w:t>食品生产通用卫生规范》，其附录A“食品加工过程的微生物监控程序指南”表A.1中对食品接触表面明确规定建议控制的微生物指标为“菌落总数、大肠菌群”，并可根据需要选择一个或多个卫生指示微生物实施监控。考虑到GB 19301《食品安全国家标准 生乳》中主要控制的微生物指标为“菌落总数”，因此本标准也选择菌落总数作为控制指标。从具体指标限值来看，美国优质乳条例PMO中规定：在奶接触的表面上菌落总数</w:t>
      </w:r>
      <w:r>
        <w:rPr>
          <w:sz w:val="22"/>
          <w:szCs w:val="22"/>
        </w:rPr>
        <w:t>&lt;</w:t>
      </w:r>
      <w:r>
        <w:rPr>
          <w:rFonts w:hint="eastAsia"/>
          <w:sz w:val="22"/>
          <w:szCs w:val="22"/>
        </w:rPr>
        <w:t>5</w:t>
      </w:r>
      <w:r>
        <w:rPr>
          <w:sz w:val="22"/>
          <w:szCs w:val="22"/>
        </w:rPr>
        <w:t>0</w:t>
      </w:r>
      <w:r>
        <w:rPr>
          <w:rFonts w:hint="eastAsia"/>
          <w:sz w:val="22"/>
          <w:szCs w:val="22"/>
        </w:rPr>
        <w:t xml:space="preserve"> </w:t>
      </w:r>
      <w:r>
        <w:rPr>
          <w:sz w:val="22"/>
          <w:szCs w:val="22"/>
        </w:rPr>
        <w:t>CFU/cm</w:t>
      </w:r>
      <w:r>
        <w:rPr>
          <w:sz w:val="22"/>
          <w:szCs w:val="22"/>
          <w:vertAlign w:val="superscript"/>
        </w:rPr>
        <w:t>2</w:t>
      </w:r>
      <w:r>
        <w:rPr>
          <w:rFonts w:hint="eastAsia"/>
          <w:sz w:val="22"/>
          <w:szCs w:val="22"/>
        </w:rPr>
        <w:t>；而国内光明乳业等乳企的内控指标为</w:t>
      </w:r>
      <w:r>
        <w:rPr>
          <w:sz w:val="22"/>
          <w:szCs w:val="22"/>
        </w:rPr>
        <w:t>&lt;</w:t>
      </w:r>
      <w:r>
        <w:rPr>
          <w:rFonts w:hint="eastAsia"/>
          <w:sz w:val="22"/>
          <w:szCs w:val="22"/>
        </w:rPr>
        <w:t>3</w:t>
      </w:r>
      <w:r>
        <w:rPr>
          <w:sz w:val="22"/>
          <w:szCs w:val="22"/>
        </w:rPr>
        <w:t>0</w:t>
      </w:r>
      <w:r>
        <w:rPr>
          <w:rFonts w:hint="eastAsia"/>
          <w:sz w:val="22"/>
          <w:szCs w:val="22"/>
        </w:rPr>
        <w:t xml:space="preserve"> </w:t>
      </w:r>
      <w:r>
        <w:rPr>
          <w:sz w:val="22"/>
          <w:szCs w:val="22"/>
        </w:rPr>
        <w:t>CFU/cm</w:t>
      </w:r>
      <w:r>
        <w:rPr>
          <w:sz w:val="22"/>
          <w:szCs w:val="22"/>
          <w:vertAlign w:val="superscript"/>
        </w:rPr>
        <w:t>2</w:t>
      </w:r>
      <w:r>
        <w:rPr>
          <w:rFonts w:hint="eastAsia"/>
          <w:sz w:val="22"/>
          <w:szCs w:val="22"/>
        </w:rPr>
        <w:t>，结合国内牧场实际生产的操作性和基本管理状况，本标准推荐或建议限量为</w:t>
      </w:r>
      <w:r>
        <w:rPr>
          <w:sz w:val="22"/>
          <w:szCs w:val="22"/>
        </w:rPr>
        <w:t>&lt;</w:t>
      </w:r>
      <w:r>
        <w:rPr>
          <w:rFonts w:hint="eastAsia"/>
          <w:sz w:val="22"/>
          <w:szCs w:val="22"/>
        </w:rPr>
        <w:t xml:space="preserve">50 </w:t>
      </w:r>
      <w:r>
        <w:rPr>
          <w:sz w:val="22"/>
          <w:szCs w:val="22"/>
        </w:rPr>
        <w:t>CFU/cm</w:t>
      </w:r>
      <w:r>
        <w:rPr>
          <w:sz w:val="22"/>
          <w:szCs w:val="22"/>
          <w:vertAlign w:val="superscript"/>
        </w:rPr>
        <w:t>2</w:t>
      </w:r>
      <w:r>
        <w:rPr>
          <w:rFonts w:hint="eastAsia"/>
          <w:sz w:val="22"/>
          <w:szCs w:val="22"/>
        </w:rPr>
        <w:t>。</w:t>
      </w:r>
    </w:p>
    <w:p>
      <w:pPr>
        <w:spacing w:line="360" w:lineRule="auto"/>
        <w:ind w:firstLine="440"/>
        <w:jc w:val="left"/>
        <w:rPr>
          <w:rFonts w:hint="eastAsia"/>
          <w:sz w:val="22"/>
          <w:szCs w:val="22"/>
        </w:rPr>
      </w:pPr>
      <w:r>
        <w:rPr>
          <w:rFonts w:hint="eastAsia"/>
          <w:sz w:val="22"/>
          <w:szCs w:val="22"/>
        </w:rPr>
        <w:t>另外，随着快检技术发展，ATP值也可以作为食品加工工业中表面洁净度的参考指标，具体限值需参考相关产品要求或结合奶畜养殖场实际情况确定，本标准不做限值推荐，详见表2。</w:t>
      </w:r>
    </w:p>
    <w:p>
      <w:pPr>
        <w:spacing w:line="360" w:lineRule="auto"/>
        <w:ind w:firstLine="440"/>
        <w:jc w:val="left"/>
        <w:rPr>
          <w:rFonts w:hint="eastAsia"/>
          <w:sz w:val="22"/>
          <w:szCs w:val="22"/>
        </w:rPr>
      </w:pPr>
    </w:p>
    <w:p>
      <w:pPr>
        <w:spacing w:line="360" w:lineRule="auto"/>
        <w:ind w:firstLine="440"/>
        <w:jc w:val="left"/>
        <w:rPr>
          <w:rFonts w:hint="eastAsia"/>
          <w:sz w:val="22"/>
          <w:szCs w:val="22"/>
        </w:rPr>
      </w:pPr>
    </w:p>
    <w:p>
      <w:pPr>
        <w:ind w:firstLine="422" w:firstLineChars="200"/>
        <w:jc w:val="center"/>
        <w:rPr>
          <w:b/>
          <w:bCs/>
          <w:szCs w:val="21"/>
        </w:rPr>
      </w:pPr>
      <w:r>
        <w:rPr>
          <w:b/>
          <w:bCs/>
          <w:szCs w:val="21"/>
        </w:rPr>
        <w:t>表2 建议监控指标限值</w:t>
      </w:r>
    </w:p>
    <w:tbl>
      <w:tblPr>
        <w:tblStyle w:val="8"/>
        <w:tblW w:w="84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2"/>
        <w:gridCol w:w="2297"/>
        <w:gridCol w:w="2333"/>
        <w:gridCol w:w="308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762" w:type="dxa"/>
            <w:vAlign w:val="center"/>
          </w:tcPr>
          <w:p>
            <w:pPr>
              <w:jc w:val="center"/>
              <w:rPr>
                <w:sz w:val="20"/>
                <w:szCs w:val="20"/>
              </w:rPr>
            </w:pPr>
            <w:r>
              <w:rPr>
                <w:sz w:val="20"/>
                <w:szCs w:val="20"/>
              </w:rPr>
              <w:t>序号</w:t>
            </w:r>
          </w:p>
        </w:tc>
        <w:tc>
          <w:tcPr>
            <w:tcW w:w="2297" w:type="dxa"/>
            <w:shd w:val="clear" w:color="auto" w:fill="auto"/>
            <w:vAlign w:val="center"/>
          </w:tcPr>
          <w:p>
            <w:pPr>
              <w:jc w:val="center"/>
              <w:rPr>
                <w:sz w:val="20"/>
                <w:szCs w:val="20"/>
              </w:rPr>
            </w:pPr>
            <w:r>
              <w:rPr>
                <w:sz w:val="20"/>
                <w:szCs w:val="20"/>
              </w:rPr>
              <w:t>检测项目</w:t>
            </w:r>
          </w:p>
        </w:tc>
        <w:tc>
          <w:tcPr>
            <w:tcW w:w="2333" w:type="dxa"/>
            <w:shd w:val="clear" w:color="auto" w:fill="auto"/>
            <w:vAlign w:val="center"/>
          </w:tcPr>
          <w:p>
            <w:pPr>
              <w:jc w:val="center"/>
              <w:rPr>
                <w:sz w:val="20"/>
                <w:szCs w:val="20"/>
              </w:rPr>
            </w:pPr>
            <w:r>
              <w:rPr>
                <w:sz w:val="20"/>
                <w:szCs w:val="20"/>
              </w:rPr>
              <w:t>限值</w:t>
            </w:r>
          </w:p>
        </w:tc>
        <w:tc>
          <w:tcPr>
            <w:tcW w:w="3085" w:type="dxa"/>
            <w:vAlign w:val="center"/>
          </w:tcPr>
          <w:p>
            <w:pPr>
              <w:jc w:val="center"/>
              <w:rPr>
                <w:sz w:val="20"/>
                <w:szCs w:val="20"/>
              </w:rPr>
            </w:pPr>
            <w:r>
              <w:rPr>
                <w:rFonts w:hint="eastAsia"/>
                <w:sz w:val="20"/>
                <w:szCs w:val="20"/>
              </w:rPr>
              <w:t>检测</w:t>
            </w:r>
            <w:r>
              <w:rPr>
                <w:sz w:val="20"/>
                <w:szCs w:val="20"/>
              </w:rPr>
              <w:t>方法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3" w:hRule="atLeast"/>
          <w:jc w:val="center"/>
        </w:trPr>
        <w:tc>
          <w:tcPr>
            <w:tcW w:w="762" w:type="dxa"/>
            <w:vAlign w:val="center"/>
          </w:tcPr>
          <w:p>
            <w:pPr>
              <w:jc w:val="center"/>
              <w:rPr>
                <w:sz w:val="20"/>
                <w:szCs w:val="20"/>
              </w:rPr>
            </w:pPr>
            <w:r>
              <w:rPr>
                <w:sz w:val="20"/>
                <w:szCs w:val="20"/>
              </w:rPr>
              <w:t>1</w:t>
            </w:r>
          </w:p>
        </w:tc>
        <w:tc>
          <w:tcPr>
            <w:tcW w:w="2297" w:type="dxa"/>
            <w:shd w:val="clear" w:color="auto" w:fill="auto"/>
            <w:vAlign w:val="center"/>
          </w:tcPr>
          <w:p>
            <w:pPr>
              <w:jc w:val="center"/>
              <w:rPr>
                <w:sz w:val="20"/>
                <w:szCs w:val="20"/>
              </w:rPr>
            </w:pPr>
            <w:r>
              <w:rPr>
                <w:sz w:val="20"/>
                <w:szCs w:val="20"/>
              </w:rPr>
              <w:t>菌落总数（CFU/cm</w:t>
            </w:r>
            <w:r>
              <w:rPr>
                <w:sz w:val="20"/>
                <w:szCs w:val="20"/>
                <w:vertAlign w:val="superscript"/>
              </w:rPr>
              <w:t>2</w:t>
            </w:r>
            <w:r>
              <w:rPr>
                <w:sz w:val="20"/>
                <w:szCs w:val="20"/>
              </w:rPr>
              <w:t>）</w:t>
            </w:r>
          </w:p>
        </w:tc>
        <w:tc>
          <w:tcPr>
            <w:tcW w:w="2333" w:type="dxa"/>
            <w:shd w:val="clear" w:color="auto" w:fill="auto"/>
            <w:vAlign w:val="center"/>
          </w:tcPr>
          <w:p>
            <w:pPr>
              <w:jc w:val="center"/>
              <w:rPr>
                <w:sz w:val="20"/>
                <w:szCs w:val="20"/>
              </w:rPr>
            </w:pPr>
            <w:r>
              <w:rPr>
                <w:sz w:val="20"/>
                <w:szCs w:val="20"/>
              </w:rPr>
              <w:t>&lt;50</w:t>
            </w:r>
          </w:p>
        </w:tc>
        <w:tc>
          <w:tcPr>
            <w:tcW w:w="3085" w:type="dxa"/>
            <w:vAlign w:val="center"/>
          </w:tcPr>
          <w:p>
            <w:pPr>
              <w:jc w:val="center"/>
              <w:rPr>
                <w:sz w:val="20"/>
                <w:szCs w:val="20"/>
              </w:rPr>
            </w:pPr>
            <w:r>
              <w:rPr>
                <w:sz w:val="20"/>
                <w:szCs w:val="20"/>
              </w:rPr>
              <w:t>按GB4789.2规定执行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9" w:hRule="atLeast"/>
          <w:jc w:val="center"/>
        </w:trPr>
        <w:tc>
          <w:tcPr>
            <w:tcW w:w="762" w:type="dxa"/>
            <w:vAlign w:val="center"/>
          </w:tcPr>
          <w:p>
            <w:pPr>
              <w:jc w:val="center"/>
              <w:rPr>
                <w:sz w:val="20"/>
                <w:szCs w:val="20"/>
              </w:rPr>
            </w:pPr>
            <w:r>
              <w:rPr>
                <w:sz w:val="20"/>
                <w:szCs w:val="20"/>
              </w:rPr>
              <w:t>2</w:t>
            </w:r>
          </w:p>
        </w:tc>
        <w:tc>
          <w:tcPr>
            <w:tcW w:w="2297" w:type="dxa"/>
            <w:shd w:val="clear" w:color="auto" w:fill="auto"/>
            <w:vAlign w:val="center"/>
          </w:tcPr>
          <w:p>
            <w:pPr>
              <w:jc w:val="center"/>
              <w:rPr>
                <w:sz w:val="20"/>
                <w:szCs w:val="20"/>
              </w:rPr>
            </w:pPr>
            <w:r>
              <w:rPr>
                <w:sz w:val="20"/>
                <w:szCs w:val="20"/>
              </w:rPr>
              <w:t>洁净度（RLU）</w:t>
            </w:r>
          </w:p>
        </w:tc>
        <w:tc>
          <w:tcPr>
            <w:tcW w:w="2333" w:type="dxa"/>
            <w:shd w:val="clear" w:color="auto" w:fill="auto"/>
            <w:vAlign w:val="center"/>
          </w:tcPr>
          <w:p>
            <w:pPr>
              <w:jc w:val="center"/>
              <w:rPr>
                <w:sz w:val="20"/>
                <w:szCs w:val="20"/>
              </w:rPr>
            </w:pPr>
            <w:r>
              <w:rPr>
                <w:sz w:val="20"/>
                <w:szCs w:val="20"/>
              </w:rPr>
              <w:t>参考相关产品要求</w:t>
            </w:r>
          </w:p>
        </w:tc>
        <w:tc>
          <w:tcPr>
            <w:tcW w:w="3085" w:type="dxa"/>
            <w:vAlign w:val="center"/>
          </w:tcPr>
          <w:p>
            <w:pPr>
              <w:jc w:val="center"/>
              <w:rPr>
                <w:sz w:val="20"/>
                <w:szCs w:val="20"/>
              </w:rPr>
            </w:pPr>
            <w:r>
              <w:rPr>
                <w:sz w:val="20"/>
                <w:szCs w:val="20"/>
              </w:rPr>
              <w:t>按GB/T 36004规定执行</w:t>
            </w:r>
          </w:p>
        </w:tc>
      </w:tr>
    </w:tbl>
    <w:p>
      <w:pPr>
        <w:spacing w:beforeLines="50" w:afterLines="50"/>
        <w:rPr>
          <w:rFonts w:ascii="黑体" w:hAnsi="黑体" w:eastAsia="黑体" w:cs="黑体"/>
          <w:b/>
          <w:bCs w:val="0"/>
          <w:color w:val="000000"/>
          <w:sz w:val="22"/>
          <w:szCs w:val="22"/>
        </w:rPr>
      </w:pPr>
      <w:r>
        <w:rPr>
          <w:rFonts w:ascii="黑体" w:hAnsi="黑体" w:eastAsia="黑体" w:cs="黑体"/>
          <w:b/>
          <w:bCs w:val="0"/>
          <w:color w:val="000000"/>
          <w:sz w:val="22"/>
          <w:szCs w:val="22"/>
        </w:rPr>
        <w:t>7、技术指标验证</w:t>
      </w:r>
    </w:p>
    <w:p>
      <w:pPr>
        <w:spacing w:line="360" w:lineRule="auto"/>
        <w:ind w:firstLine="442" w:firstLineChars="200"/>
        <w:jc w:val="left"/>
        <w:rPr>
          <w:b/>
          <w:bCs/>
          <w:sz w:val="22"/>
          <w:szCs w:val="22"/>
        </w:rPr>
      </w:pPr>
      <w:r>
        <w:rPr>
          <w:b/>
          <w:bCs/>
          <w:sz w:val="22"/>
          <w:szCs w:val="22"/>
        </w:rPr>
        <w:t>7.1 牧场环节溯源验证</w:t>
      </w:r>
    </w:p>
    <w:p>
      <w:pPr>
        <w:spacing w:line="360" w:lineRule="auto"/>
        <w:ind w:firstLine="440" w:firstLineChars="200"/>
        <w:rPr>
          <w:sz w:val="22"/>
          <w:szCs w:val="22"/>
        </w:rPr>
      </w:pPr>
      <w:r>
        <w:rPr>
          <w:rFonts w:hint="eastAsia"/>
          <w:sz w:val="22"/>
          <w:szCs w:val="22"/>
        </w:rPr>
        <w:t>（</w:t>
      </w:r>
      <w:r>
        <w:rPr>
          <w:sz w:val="22"/>
          <w:szCs w:val="22"/>
        </w:rPr>
        <w:t>1</w:t>
      </w:r>
      <w:r>
        <w:rPr>
          <w:rFonts w:hint="eastAsia"/>
          <w:sz w:val="22"/>
          <w:szCs w:val="22"/>
        </w:rPr>
        <w:t>）样品采集</w:t>
      </w:r>
    </w:p>
    <w:p>
      <w:pPr>
        <w:spacing w:line="360" w:lineRule="auto"/>
        <w:ind w:firstLine="440" w:firstLineChars="200"/>
        <w:rPr>
          <w:sz w:val="22"/>
          <w:szCs w:val="22"/>
        </w:rPr>
      </w:pPr>
      <w:r>
        <w:rPr>
          <w:sz w:val="22"/>
          <w:szCs w:val="22"/>
        </w:rPr>
        <w:t>牧场溯源验证环节，选取上海地区典型的规模性奶牛养殖场1家，9-12月，每月采集奶罐奶1批次，奶罐取样口表面微生物样1批次，乳头奶10批次，乳房表面微生物样10批次，取奶人员手部表面微生物样品10批次，奶衬表面微生物样1批次，粪便1批次、垫料至少5批次、土壤1批次、空气5批次、水样1批次，TMR饲料1批次，共计采集样品不少于188批次。</w:t>
      </w:r>
    </w:p>
    <w:p>
      <w:pPr>
        <w:spacing w:line="360" w:lineRule="auto"/>
        <w:ind w:firstLine="440" w:firstLineChars="200"/>
        <w:rPr>
          <w:sz w:val="22"/>
          <w:szCs w:val="22"/>
        </w:rPr>
      </w:pPr>
      <w:r>
        <w:rPr>
          <w:sz w:val="22"/>
          <w:szCs w:val="22"/>
        </w:rPr>
        <w:t>采样要求：所有采样容器均须为无菌容器。采样人员应佩戴无粉灭菌手套和口罩、帽子，防止采样过程中的人为污染。样品采集后均需冷藏保存（保温箱内温度不高于4℃），并尽快送至实验室开展相关检测。严禁冷冻样品。样品采集后应24小时内检测。（1）奶罐奶。（2）乳头奶，选2-3胎泌乳中期荷斯坦奶牛，由专业挤奶工按标准挤奶操作程序，选奶牛最靠近右后腿的乳头，弃去头三把奶后将乳头奶挤入无菌采样瓶中，每头牛平行取样4份，每份100 mL。采集乳头奶时请填写乳头奶采样记录表。（3）乳房/取奶人员手部表面微生物样，参照GB/T 18204.4-2013《公共场所卫生检验方法第4部分：公共用品用具微生物》。采集乳头奶前，对选中的10头奶牛开展乳房和取奶人员手部表面微生物采样，采样编号与乳头奶编号需一一对应。乳房/取奶人员手部表面微生物采样需无菌操作，使用灭菌干燥棉拭子，于10 mL生理盐水内浸润（吸取约1 mL溶液）后，在乳头周围或取奶人员手部接触</w:t>
      </w:r>
      <w:r>
        <w:rPr>
          <w:rFonts w:hint="eastAsia"/>
          <w:sz w:val="22"/>
          <w:szCs w:val="22"/>
        </w:rPr>
        <w:t>乳头的一面来回均匀涂抹进行样品采集，涂抹总面积为</w:t>
      </w:r>
      <w:r>
        <w:rPr>
          <w:sz w:val="22"/>
          <w:szCs w:val="22"/>
        </w:rPr>
        <w:t>25</w:t>
      </w:r>
      <w:r>
        <w:rPr>
          <w:rFonts w:hint="eastAsia"/>
          <w:sz w:val="22"/>
          <w:szCs w:val="22"/>
        </w:rPr>
        <w:t xml:space="preserve"> </w:t>
      </w:r>
      <w:r>
        <w:rPr>
          <w:sz w:val="22"/>
          <w:szCs w:val="22"/>
        </w:rPr>
        <w:t>cm</w:t>
      </w:r>
      <w:r>
        <w:rPr>
          <w:sz w:val="22"/>
          <w:szCs w:val="22"/>
          <w:vertAlign w:val="superscript"/>
        </w:rPr>
        <w:t>2</w:t>
      </w:r>
      <w:r>
        <w:rPr>
          <w:rFonts w:hint="eastAsia"/>
          <w:sz w:val="22"/>
          <w:szCs w:val="22"/>
        </w:rPr>
        <w:t>，再用灭菌剪刀减去棉签手接触部分，将棉拭子放入剩余的</w:t>
      </w:r>
      <w:r>
        <w:rPr>
          <w:sz w:val="22"/>
          <w:szCs w:val="22"/>
        </w:rPr>
        <w:t>9</w:t>
      </w:r>
      <w:r>
        <w:rPr>
          <w:rFonts w:hint="eastAsia"/>
          <w:sz w:val="22"/>
          <w:szCs w:val="22"/>
        </w:rPr>
        <w:t xml:space="preserve"> </w:t>
      </w:r>
      <w:r>
        <w:rPr>
          <w:sz w:val="22"/>
          <w:szCs w:val="22"/>
        </w:rPr>
        <w:t>mL</w:t>
      </w:r>
      <w:r>
        <w:rPr>
          <w:rFonts w:hint="eastAsia"/>
          <w:sz w:val="22"/>
          <w:szCs w:val="22"/>
        </w:rPr>
        <w:t>生理盐水内，</w:t>
      </w:r>
      <w:r>
        <w:rPr>
          <w:sz w:val="22"/>
          <w:szCs w:val="22"/>
        </w:rPr>
        <w:t>4</w:t>
      </w:r>
      <w:r>
        <w:rPr>
          <w:rFonts w:hint="eastAsia"/>
          <w:sz w:val="22"/>
          <w:szCs w:val="22"/>
        </w:rPr>
        <w:t xml:space="preserve"> </w:t>
      </w:r>
      <w:r>
        <w:rPr>
          <w:sz w:val="22"/>
          <w:szCs w:val="22"/>
        </w:rPr>
        <w:t>h</w:t>
      </w:r>
      <w:r>
        <w:rPr>
          <w:rFonts w:hint="eastAsia"/>
          <w:sz w:val="22"/>
          <w:szCs w:val="22"/>
        </w:rPr>
        <w:t>内送检。每头牛的乳房和奶杯采样</w:t>
      </w:r>
      <w:r>
        <w:rPr>
          <w:sz w:val="22"/>
          <w:szCs w:val="22"/>
        </w:rPr>
        <w:t>10</w:t>
      </w:r>
      <w:r>
        <w:rPr>
          <w:rFonts w:hint="eastAsia"/>
          <w:sz w:val="22"/>
          <w:szCs w:val="22"/>
        </w:rPr>
        <w:t xml:space="preserve"> </w:t>
      </w:r>
      <w:r>
        <w:rPr>
          <w:sz w:val="22"/>
          <w:szCs w:val="22"/>
        </w:rPr>
        <w:t>mL*4</w:t>
      </w:r>
      <w:r>
        <w:rPr>
          <w:rFonts w:hint="eastAsia"/>
          <w:sz w:val="22"/>
          <w:szCs w:val="22"/>
        </w:rPr>
        <w:t>份。（</w:t>
      </w:r>
      <w:r>
        <w:rPr>
          <w:sz w:val="22"/>
          <w:szCs w:val="22"/>
        </w:rPr>
        <w:t>4</w:t>
      </w:r>
      <w:r>
        <w:rPr>
          <w:rFonts w:hint="eastAsia"/>
          <w:sz w:val="22"/>
          <w:szCs w:val="22"/>
        </w:rPr>
        <w:t>）奶衬</w:t>
      </w:r>
      <w:r>
        <w:rPr>
          <w:sz w:val="22"/>
          <w:szCs w:val="22"/>
        </w:rPr>
        <w:t>/</w:t>
      </w:r>
      <w:r>
        <w:rPr>
          <w:rFonts w:hint="eastAsia"/>
          <w:sz w:val="22"/>
          <w:szCs w:val="22"/>
        </w:rPr>
        <w:t>奶罐取样口表面微生物样，参照</w:t>
      </w:r>
      <w:r>
        <w:rPr>
          <w:sz w:val="22"/>
          <w:szCs w:val="22"/>
        </w:rPr>
        <w:t>GB/T 18204.4-2013</w:t>
      </w:r>
      <w:r>
        <w:rPr>
          <w:rFonts w:hint="eastAsia"/>
          <w:sz w:val="22"/>
          <w:szCs w:val="22"/>
        </w:rPr>
        <w:t>《公共场所卫生检验方法第</w:t>
      </w:r>
      <w:r>
        <w:rPr>
          <w:sz w:val="22"/>
          <w:szCs w:val="22"/>
        </w:rPr>
        <w:t>4</w:t>
      </w:r>
      <w:r>
        <w:rPr>
          <w:rFonts w:hint="eastAsia"/>
          <w:sz w:val="22"/>
          <w:szCs w:val="22"/>
        </w:rPr>
        <w:t>部分：公共用品用具微生物》。奶衬</w:t>
      </w:r>
      <w:r>
        <w:rPr>
          <w:sz w:val="22"/>
          <w:szCs w:val="22"/>
        </w:rPr>
        <w:t>/</w:t>
      </w:r>
      <w:r>
        <w:rPr>
          <w:rFonts w:hint="eastAsia"/>
          <w:sz w:val="22"/>
          <w:szCs w:val="22"/>
        </w:rPr>
        <w:t>奶罐取样口表面微生物采样需无菌操作，使用灭菌干燥棉拭子，于</w:t>
      </w:r>
      <w:r>
        <w:rPr>
          <w:sz w:val="22"/>
          <w:szCs w:val="22"/>
        </w:rPr>
        <w:t>10</w:t>
      </w:r>
      <w:r>
        <w:rPr>
          <w:rFonts w:hint="eastAsia"/>
          <w:sz w:val="22"/>
          <w:szCs w:val="22"/>
        </w:rPr>
        <w:t xml:space="preserve"> </w:t>
      </w:r>
      <w:r>
        <w:rPr>
          <w:sz w:val="22"/>
          <w:szCs w:val="22"/>
        </w:rPr>
        <w:t>mL</w:t>
      </w:r>
      <w:r>
        <w:rPr>
          <w:rFonts w:hint="eastAsia"/>
          <w:sz w:val="22"/>
          <w:szCs w:val="22"/>
        </w:rPr>
        <w:t>生理盐水内浸润（吸取约</w:t>
      </w:r>
      <w:r>
        <w:rPr>
          <w:sz w:val="22"/>
          <w:szCs w:val="22"/>
        </w:rPr>
        <w:t>1</w:t>
      </w:r>
      <w:r>
        <w:rPr>
          <w:rFonts w:hint="eastAsia"/>
          <w:sz w:val="22"/>
          <w:szCs w:val="22"/>
        </w:rPr>
        <w:t xml:space="preserve"> </w:t>
      </w:r>
      <w:r>
        <w:rPr>
          <w:sz w:val="22"/>
          <w:szCs w:val="22"/>
        </w:rPr>
        <w:t>mL</w:t>
      </w:r>
      <w:r>
        <w:rPr>
          <w:rFonts w:hint="eastAsia"/>
          <w:sz w:val="22"/>
          <w:szCs w:val="22"/>
        </w:rPr>
        <w:t>溶液）后，在奶衬</w:t>
      </w:r>
      <w:r>
        <w:rPr>
          <w:sz w:val="22"/>
          <w:szCs w:val="22"/>
        </w:rPr>
        <w:t>/</w:t>
      </w:r>
      <w:r>
        <w:rPr>
          <w:rFonts w:hint="eastAsia"/>
          <w:sz w:val="22"/>
          <w:szCs w:val="22"/>
        </w:rPr>
        <w:t>奶罐取样口全覆盖涂抹采样，再用灭菌剪刀减去棉签手接触部分，将棉拭子放入剩余的</w:t>
      </w:r>
      <w:r>
        <w:rPr>
          <w:sz w:val="22"/>
          <w:szCs w:val="22"/>
        </w:rPr>
        <w:t>9</w:t>
      </w:r>
      <w:r>
        <w:rPr>
          <w:rFonts w:hint="eastAsia"/>
          <w:sz w:val="22"/>
          <w:szCs w:val="22"/>
        </w:rPr>
        <w:t xml:space="preserve"> </w:t>
      </w:r>
      <w:r>
        <w:rPr>
          <w:sz w:val="22"/>
          <w:szCs w:val="22"/>
        </w:rPr>
        <w:t>mL</w:t>
      </w:r>
      <w:r>
        <w:rPr>
          <w:rFonts w:hint="eastAsia"/>
          <w:sz w:val="22"/>
          <w:szCs w:val="22"/>
        </w:rPr>
        <w:t>生理盐水内，</w:t>
      </w:r>
      <w:r>
        <w:rPr>
          <w:sz w:val="22"/>
          <w:szCs w:val="22"/>
        </w:rPr>
        <w:t>4</w:t>
      </w:r>
      <w:r>
        <w:rPr>
          <w:rFonts w:hint="eastAsia"/>
          <w:sz w:val="22"/>
          <w:szCs w:val="22"/>
        </w:rPr>
        <w:t xml:space="preserve"> </w:t>
      </w:r>
      <w:r>
        <w:rPr>
          <w:sz w:val="22"/>
          <w:szCs w:val="22"/>
        </w:rPr>
        <w:t>h</w:t>
      </w:r>
      <w:r>
        <w:rPr>
          <w:rFonts w:hint="eastAsia"/>
          <w:sz w:val="22"/>
          <w:szCs w:val="22"/>
        </w:rPr>
        <w:t>内送检。</w:t>
      </w:r>
      <w:r>
        <w:rPr>
          <w:sz w:val="22"/>
          <w:szCs w:val="22"/>
        </w:rPr>
        <w:t>1</w:t>
      </w:r>
      <w:r>
        <w:rPr>
          <w:rFonts w:hint="eastAsia"/>
          <w:sz w:val="22"/>
          <w:szCs w:val="22"/>
        </w:rPr>
        <w:t>个奶衬采集</w:t>
      </w:r>
      <w:r>
        <w:rPr>
          <w:sz w:val="22"/>
          <w:szCs w:val="22"/>
        </w:rPr>
        <w:t>10</w:t>
      </w:r>
      <w:r>
        <w:rPr>
          <w:rFonts w:hint="eastAsia"/>
          <w:sz w:val="22"/>
          <w:szCs w:val="22"/>
        </w:rPr>
        <w:t xml:space="preserve"> </w:t>
      </w:r>
      <w:r>
        <w:rPr>
          <w:sz w:val="22"/>
          <w:szCs w:val="22"/>
        </w:rPr>
        <w:t>mL</w:t>
      </w:r>
      <w:r>
        <w:rPr>
          <w:rFonts w:hint="eastAsia"/>
          <w:sz w:val="22"/>
          <w:szCs w:val="22"/>
        </w:rPr>
        <w:t>×</w:t>
      </w:r>
      <w:r>
        <w:rPr>
          <w:sz w:val="22"/>
          <w:szCs w:val="22"/>
        </w:rPr>
        <w:t>1</w:t>
      </w:r>
      <w:r>
        <w:rPr>
          <w:rFonts w:hint="eastAsia"/>
          <w:sz w:val="22"/>
          <w:szCs w:val="22"/>
        </w:rPr>
        <w:t>份，共采集</w:t>
      </w:r>
      <w:r>
        <w:rPr>
          <w:sz w:val="22"/>
          <w:szCs w:val="22"/>
        </w:rPr>
        <w:t>10</w:t>
      </w:r>
      <w:r>
        <w:rPr>
          <w:rFonts w:hint="eastAsia"/>
          <w:sz w:val="22"/>
          <w:szCs w:val="22"/>
        </w:rPr>
        <w:t xml:space="preserve"> </w:t>
      </w:r>
      <w:r>
        <w:rPr>
          <w:sz w:val="22"/>
          <w:szCs w:val="22"/>
        </w:rPr>
        <w:t>mL</w:t>
      </w:r>
      <w:r>
        <w:rPr>
          <w:rFonts w:hint="eastAsia"/>
          <w:sz w:val="22"/>
          <w:szCs w:val="22"/>
        </w:rPr>
        <w:t>×</w:t>
      </w:r>
      <w:r>
        <w:rPr>
          <w:sz w:val="22"/>
          <w:szCs w:val="22"/>
        </w:rPr>
        <w:t>3</w:t>
      </w:r>
      <w:r>
        <w:rPr>
          <w:rFonts w:hint="eastAsia"/>
          <w:sz w:val="22"/>
          <w:szCs w:val="22"/>
        </w:rPr>
        <w:t>份。奶罐取样口采集</w:t>
      </w:r>
      <w:r>
        <w:rPr>
          <w:sz w:val="22"/>
          <w:szCs w:val="22"/>
        </w:rPr>
        <w:t>10</w:t>
      </w:r>
      <w:r>
        <w:rPr>
          <w:rFonts w:hint="eastAsia"/>
          <w:sz w:val="22"/>
          <w:szCs w:val="22"/>
        </w:rPr>
        <w:t xml:space="preserve"> </w:t>
      </w:r>
      <w:r>
        <w:rPr>
          <w:sz w:val="22"/>
          <w:szCs w:val="22"/>
        </w:rPr>
        <w:t>mL</w:t>
      </w:r>
      <w:r>
        <w:rPr>
          <w:rFonts w:hint="eastAsia"/>
          <w:sz w:val="22"/>
          <w:szCs w:val="22"/>
        </w:rPr>
        <w:t>×</w:t>
      </w:r>
      <w:r>
        <w:rPr>
          <w:sz w:val="22"/>
          <w:szCs w:val="22"/>
        </w:rPr>
        <w:t>1</w:t>
      </w:r>
      <w:r>
        <w:rPr>
          <w:rFonts w:hint="eastAsia"/>
          <w:sz w:val="22"/>
          <w:szCs w:val="22"/>
        </w:rPr>
        <w:t>份。（</w:t>
      </w:r>
      <w:r>
        <w:rPr>
          <w:sz w:val="22"/>
          <w:szCs w:val="22"/>
        </w:rPr>
        <w:t>5</w:t>
      </w:r>
      <w:r>
        <w:rPr>
          <w:rFonts w:hint="eastAsia"/>
          <w:sz w:val="22"/>
          <w:szCs w:val="22"/>
        </w:rPr>
        <w:t>）粪便，使用灭菌干燥木棒，从采集乳头奶的奶牛中选取一头，取奶牛新排出粪便约</w:t>
      </w:r>
      <w:r>
        <w:rPr>
          <w:sz w:val="22"/>
          <w:szCs w:val="22"/>
        </w:rPr>
        <w:t>50</w:t>
      </w:r>
      <w:r>
        <w:rPr>
          <w:rFonts w:hint="eastAsia"/>
          <w:sz w:val="22"/>
          <w:szCs w:val="22"/>
        </w:rPr>
        <w:t xml:space="preserve"> </w:t>
      </w:r>
      <w:r>
        <w:rPr>
          <w:sz w:val="22"/>
          <w:szCs w:val="22"/>
        </w:rPr>
        <w:t>g</w:t>
      </w:r>
      <w:r>
        <w:rPr>
          <w:rFonts w:hint="eastAsia"/>
          <w:sz w:val="22"/>
          <w:szCs w:val="22"/>
        </w:rPr>
        <w:t>×</w:t>
      </w:r>
      <w:r>
        <w:rPr>
          <w:sz w:val="22"/>
          <w:szCs w:val="22"/>
        </w:rPr>
        <w:t>3</w:t>
      </w:r>
      <w:r>
        <w:rPr>
          <w:rFonts w:hint="eastAsia"/>
          <w:sz w:val="22"/>
          <w:szCs w:val="22"/>
        </w:rPr>
        <w:t>份装入无菌采样瓶</w:t>
      </w:r>
      <w:r>
        <w:rPr>
          <w:sz w:val="22"/>
          <w:szCs w:val="22"/>
        </w:rPr>
        <w:t>/</w:t>
      </w:r>
      <w:r>
        <w:rPr>
          <w:rFonts w:hint="eastAsia"/>
          <w:sz w:val="22"/>
          <w:szCs w:val="22"/>
        </w:rPr>
        <w:t>袋中，冷藏送检。（</w:t>
      </w:r>
      <w:r>
        <w:rPr>
          <w:sz w:val="22"/>
          <w:szCs w:val="22"/>
        </w:rPr>
        <w:t>6</w:t>
      </w:r>
      <w:r>
        <w:rPr>
          <w:rFonts w:hint="eastAsia"/>
          <w:sz w:val="22"/>
          <w:szCs w:val="22"/>
        </w:rPr>
        <w:t>）垫料，选取不同的牛舍进行采样，采样的数量与牧场中牛舍数量一致，每个牛舍采集</w:t>
      </w:r>
      <w:r>
        <w:rPr>
          <w:sz w:val="22"/>
          <w:szCs w:val="22"/>
        </w:rPr>
        <w:t>1</w:t>
      </w:r>
      <w:r>
        <w:rPr>
          <w:rFonts w:hint="eastAsia"/>
          <w:sz w:val="22"/>
          <w:szCs w:val="22"/>
        </w:rPr>
        <w:t>批次样品。每个牛舍中采集</w:t>
      </w:r>
      <w:r>
        <w:rPr>
          <w:sz w:val="22"/>
          <w:szCs w:val="22"/>
        </w:rPr>
        <w:t>10</w:t>
      </w:r>
      <w:r>
        <w:rPr>
          <w:rFonts w:hint="eastAsia"/>
          <w:sz w:val="22"/>
          <w:szCs w:val="22"/>
        </w:rPr>
        <w:t>个位点的垫料，采样时佩戴无菌手套，每个位点取样不少于</w:t>
      </w:r>
      <w:r>
        <w:rPr>
          <w:sz w:val="22"/>
          <w:szCs w:val="22"/>
        </w:rPr>
        <w:t>0.5</w:t>
      </w:r>
      <w:r>
        <w:rPr>
          <w:rFonts w:hint="eastAsia"/>
          <w:sz w:val="22"/>
          <w:szCs w:val="22"/>
        </w:rPr>
        <w:t xml:space="preserve"> </w:t>
      </w:r>
      <w:r>
        <w:rPr>
          <w:sz w:val="22"/>
          <w:szCs w:val="22"/>
        </w:rPr>
        <w:t>kg</w:t>
      </w:r>
      <w:r>
        <w:rPr>
          <w:rFonts w:hint="eastAsia"/>
          <w:sz w:val="22"/>
          <w:szCs w:val="22"/>
        </w:rPr>
        <w:t>。将样品混合均匀，按照四分法操作步骤，将样品缩分为</w:t>
      </w:r>
      <w:r>
        <w:rPr>
          <w:sz w:val="22"/>
          <w:szCs w:val="22"/>
        </w:rPr>
        <w:t>0.5</w:t>
      </w:r>
      <w:r>
        <w:rPr>
          <w:rFonts w:hint="eastAsia"/>
          <w:sz w:val="22"/>
          <w:szCs w:val="22"/>
        </w:rPr>
        <w:t xml:space="preserve"> </w:t>
      </w:r>
      <w:r>
        <w:rPr>
          <w:sz w:val="22"/>
          <w:szCs w:val="22"/>
        </w:rPr>
        <w:t>kg</w:t>
      </w:r>
      <w:r>
        <w:rPr>
          <w:rFonts w:hint="eastAsia"/>
          <w:sz w:val="22"/>
          <w:szCs w:val="22"/>
        </w:rPr>
        <w:t>，充分混合后，取</w:t>
      </w:r>
      <w:r>
        <w:rPr>
          <w:sz w:val="22"/>
          <w:szCs w:val="22"/>
        </w:rPr>
        <w:t>50</w:t>
      </w:r>
      <w:r>
        <w:rPr>
          <w:rFonts w:hint="eastAsia"/>
          <w:sz w:val="22"/>
          <w:szCs w:val="22"/>
        </w:rPr>
        <w:t xml:space="preserve"> </w:t>
      </w:r>
      <w:r>
        <w:rPr>
          <w:sz w:val="22"/>
          <w:szCs w:val="22"/>
        </w:rPr>
        <w:t>g</w:t>
      </w:r>
      <w:r>
        <w:rPr>
          <w:rFonts w:hint="eastAsia"/>
          <w:sz w:val="22"/>
          <w:szCs w:val="22"/>
        </w:rPr>
        <w:t>×</w:t>
      </w:r>
      <w:r>
        <w:rPr>
          <w:sz w:val="22"/>
          <w:szCs w:val="22"/>
        </w:rPr>
        <w:t>3</w:t>
      </w:r>
      <w:r>
        <w:rPr>
          <w:rFonts w:hint="eastAsia"/>
          <w:sz w:val="22"/>
          <w:szCs w:val="22"/>
        </w:rPr>
        <w:t>份，装入无菌容器中冷藏送检。采集垫料时请填写附件</w:t>
      </w:r>
      <w:r>
        <w:rPr>
          <w:sz w:val="22"/>
          <w:szCs w:val="22"/>
        </w:rPr>
        <w:t>3</w:t>
      </w:r>
      <w:r>
        <w:rPr>
          <w:rFonts w:hint="eastAsia"/>
          <w:sz w:val="22"/>
          <w:szCs w:val="22"/>
        </w:rPr>
        <w:t>的垫料采样记录表。（</w:t>
      </w:r>
      <w:r>
        <w:rPr>
          <w:sz w:val="22"/>
          <w:szCs w:val="22"/>
        </w:rPr>
        <w:t>7</w:t>
      </w:r>
      <w:r>
        <w:rPr>
          <w:rFonts w:hint="eastAsia"/>
          <w:sz w:val="22"/>
          <w:szCs w:val="22"/>
        </w:rPr>
        <w:t>）土壤，土壤样品采集参照</w:t>
      </w:r>
      <w:r>
        <w:rPr>
          <w:sz w:val="22"/>
          <w:szCs w:val="22"/>
        </w:rPr>
        <w:t>HJ/T 166</w:t>
      </w:r>
      <w:r>
        <w:rPr>
          <w:rFonts w:hint="eastAsia"/>
          <w:sz w:val="22"/>
          <w:szCs w:val="22"/>
        </w:rPr>
        <w:t>《土壤环境监测技术规范》执行。土壤：采样工具可使用铁锹、铁铲、柱状采样器及木铲。牧场内，选择远离（至少</w:t>
      </w:r>
      <w:r>
        <w:rPr>
          <w:sz w:val="22"/>
          <w:szCs w:val="22"/>
        </w:rPr>
        <w:t>5 m</w:t>
      </w:r>
      <w:r>
        <w:rPr>
          <w:rFonts w:hint="eastAsia"/>
          <w:sz w:val="22"/>
          <w:szCs w:val="22"/>
        </w:rPr>
        <w:t>）牛舍、建筑物、粪池、树木等的开阔地带，以方形区域为基础选取五个采样点，清除表层土壤后，采集</w:t>
      </w:r>
      <w:r>
        <w:rPr>
          <w:sz w:val="22"/>
          <w:szCs w:val="22"/>
        </w:rPr>
        <w:t>0-20 cm</w:t>
      </w:r>
      <w:r>
        <w:rPr>
          <w:rFonts w:hint="eastAsia"/>
          <w:sz w:val="22"/>
          <w:szCs w:val="22"/>
        </w:rPr>
        <w:t>厚度土壤，采样过程中，应剔除样品中的砾石、动植物残体等杂物。混匀后四分法取样</w:t>
      </w:r>
      <w:r>
        <w:rPr>
          <w:sz w:val="22"/>
          <w:szCs w:val="22"/>
        </w:rPr>
        <w:t>1</w:t>
      </w:r>
      <w:r>
        <w:rPr>
          <w:rFonts w:hint="eastAsia"/>
          <w:sz w:val="22"/>
          <w:szCs w:val="22"/>
        </w:rPr>
        <w:t xml:space="preserve"> </w:t>
      </w:r>
      <w:r>
        <w:rPr>
          <w:sz w:val="22"/>
          <w:szCs w:val="22"/>
        </w:rPr>
        <w:t>kg</w:t>
      </w:r>
      <w:r>
        <w:rPr>
          <w:rFonts w:hint="eastAsia"/>
          <w:sz w:val="22"/>
          <w:szCs w:val="22"/>
        </w:rPr>
        <w:t>，分为</w:t>
      </w:r>
      <w:r>
        <w:rPr>
          <w:sz w:val="22"/>
          <w:szCs w:val="22"/>
        </w:rPr>
        <w:t>50</w:t>
      </w:r>
      <w:r>
        <w:rPr>
          <w:rFonts w:hint="eastAsia"/>
          <w:sz w:val="22"/>
          <w:szCs w:val="22"/>
        </w:rPr>
        <w:t xml:space="preserve"> </w:t>
      </w:r>
      <w:r>
        <w:rPr>
          <w:sz w:val="22"/>
          <w:szCs w:val="22"/>
        </w:rPr>
        <w:t>g</w:t>
      </w:r>
      <w:r>
        <w:rPr>
          <w:rFonts w:hint="eastAsia"/>
          <w:sz w:val="22"/>
          <w:szCs w:val="22"/>
        </w:rPr>
        <w:t>×</w:t>
      </w:r>
      <w:r>
        <w:rPr>
          <w:sz w:val="22"/>
          <w:szCs w:val="22"/>
        </w:rPr>
        <w:t>3</w:t>
      </w:r>
      <w:r>
        <w:rPr>
          <w:rFonts w:hint="eastAsia"/>
          <w:sz w:val="22"/>
          <w:szCs w:val="22"/>
        </w:rPr>
        <w:t>份</w:t>
      </w:r>
      <w:r>
        <w:rPr>
          <w:sz w:val="22"/>
          <w:szCs w:val="22"/>
        </w:rPr>
        <w:t>,</w:t>
      </w:r>
      <w:r>
        <w:rPr>
          <w:rFonts w:hint="eastAsia"/>
          <w:sz w:val="22"/>
          <w:szCs w:val="22"/>
        </w:rPr>
        <w:t>置于无菌密封袋或无菌瓶内，如用无菌密封袋挤净袋内空气，冷藏保存。（</w:t>
      </w:r>
      <w:r>
        <w:rPr>
          <w:sz w:val="22"/>
          <w:szCs w:val="22"/>
        </w:rPr>
        <w:t>8</w:t>
      </w:r>
      <w:r>
        <w:rPr>
          <w:rFonts w:hint="eastAsia"/>
          <w:sz w:val="22"/>
          <w:szCs w:val="22"/>
        </w:rPr>
        <w:t>）空气，空气样品采集参照</w:t>
      </w:r>
      <w:r>
        <w:rPr>
          <w:sz w:val="22"/>
          <w:szCs w:val="22"/>
        </w:rPr>
        <w:t>GB/T 18204.3-2013</w:t>
      </w:r>
      <w:r>
        <w:rPr>
          <w:rFonts w:hint="eastAsia"/>
          <w:sz w:val="22"/>
          <w:szCs w:val="22"/>
        </w:rPr>
        <w:t>《公共场所卫生检验方法第</w:t>
      </w:r>
      <w:r>
        <w:rPr>
          <w:sz w:val="22"/>
          <w:szCs w:val="22"/>
        </w:rPr>
        <w:t>3</w:t>
      </w:r>
      <w:r>
        <w:rPr>
          <w:rFonts w:hint="eastAsia"/>
          <w:sz w:val="22"/>
          <w:szCs w:val="22"/>
        </w:rPr>
        <w:t>部分：空气微生物》。避开通风口、通风道，在牛舍中设置</w:t>
      </w:r>
      <w:r>
        <w:rPr>
          <w:sz w:val="22"/>
          <w:szCs w:val="22"/>
        </w:rPr>
        <w:t>5</w:t>
      </w:r>
      <w:r>
        <w:rPr>
          <w:rFonts w:hint="eastAsia"/>
          <w:sz w:val="22"/>
          <w:szCs w:val="22"/>
        </w:rPr>
        <w:t>个采样点，按梅花布点，采样点距离地面高度</w:t>
      </w:r>
      <w:r>
        <w:rPr>
          <w:sz w:val="22"/>
          <w:szCs w:val="22"/>
        </w:rPr>
        <w:t>1.2</w:t>
      </w:r>
      <w:r>
        <w:rPr>
          <w:rFonts w:hint="eastAsia"/>
          <w:sz w:val="22"/>
          <w:szCs w:val="22"/>
        </w:rPr>
        <w:t>～</w:t>
      </w:r>
      <w:r>
        <w:rPr>
          <w:sz w:val="22"/>
          <w:szCs w:val="22"/>
        </w:rPr>
        <w:t>1.5</w:t>
      </w:r>
      <w:r>
        <w:rPr>
          <w:rFonts w:hint="eastAsia"/>
          <w:sz w:val="22"/>
          <w:szCs w:val="22"/>
        </w:rPr>
        <w:t xml:space="preserve"> </w:t>
      </w:r>
      <w:r>
        <w:rPr>
          <w:sz w:val="22"/>
          <w:szCs w:val="22"/>
        </w:rPr>
        <w:t>m</w:t>
      </w:r>
      <w:r>
        <w:rPr>
          <w:rFonts w:hint="eastAsia"/>
          <w:sz w:val="22"/>
          <w:szCs w:val="22"/>
        </w:rPr>
        <w:t>，距离墙壁不小于</w:t>
      </w:r>
      <w:r>
        <w:rPr>
          <w:sz w:val="22"/>
          <w:szCs w:val="22"/>
        </w:rPr>
        <w:t>1</w:t>
      </w:r>
      <w:r>
        <w:rPr>
          <w:rFonts w:hint="eastAsia"/>
          <w:sz w:val="22"/>
          <w:szCs w:val="22"/>
        </w:rPr>
        <w:t xml:space="preserve"> </w:t>
      </w:r>
      <w:r>
        <w:rPr>
          <w:sz w:val="22"/>
          <w:szCs w:val="22"/>
        </w:rPr>
        <w:t>m</w:t>
      </w:r>
      <w:r>
        <w:rPr>
          <w:rFonts w:hint="eastAsia"/>
          <w:sz w:val="22"/>
          <w:szCs w:val="22"/>
        </w:rPr>
        <w:t>。将做好的营养琼脂平板盖子揭开放在采样点，暴露</w:t>
      </w:r>
      <w:r>
        <w:rPr>
          <w:sz w:val="22"/>
          <w:szCs w:val="22"/>
        </w:rPr>
        <w:t>5</w:t>
      </w:r>
      <w:r>
        <w:rPr>
          <w:rFonts w:hint="eastAsia"/>
          <w:sz w:val="22"/>
          <w:szCs w:val="22"/>
        </w:rPr>
        <w:t xml:space="preserve"> </w:t>
      </w:r>
      <w:r>
        <w:rPr>
          <w:sz w:val="22"/>
          <w:szCs w:val="22"/>
        </w:rPr>
        <w:t>min</w:t>
      </w:r>
      <w:r>
        <w:rPr>
          <w:rFonts w:hint="eastAsia"/>
          <w:sz w:val="22"/>
          <w:szCs w:val="22"/>
        </w:rPr>
        <w:t>，然后收集营养琼脂平板并倒置。每个采样位点平行放置</w:t>
      </w:r>
      <w:r>
        <w:rPr>
          <w:sz w:val="22"/>
          <w:szCs w:val="22"/>
        </w:rPr>
        <w:t>3</w:t>
      </w:r>
      <w:r>
        <w:rPr>
          <w:rFonts w:hint="eastAsia"/>
          <w:sz w:val="22"/>
          <w:szCs w:val="22"/>
        </w:rPr>
        <w:t>个琼脂平板并标明采样位点编号。（</w:t>
      </w:r>
      <w:r>
        <w:rPr>
          <w:sz w:val="22"/>
          <w:szCs w:val="22"/>
        </w:rPr>
        <w:t>9</w:t>
      </w:r>
      <w:r>
        <w:rPr>
          <w:rFonts w:hint="eastAsia"/>
          <w:sz w:val="22"/>
          <w:szCs w:val="22"/>
        </w:rPr>
        <w:t>）水样，牧场奶牛饮水样品采集参照</w:t>
      </w:r>
      <w:r>
        <w:rPr>
          <w:sz w:val="22"/>
          <w:szCs w:val="22"/>
        </w:rPr>
        <w:t>HJ 495-2009</w:t>
      </w:r>
      <w:r>
        <w:rPr>
          <w:rFonts w:hint="eastAsia"/>
          <w:sz w:val="22"/>
          <w:szCs w:val="22"/>
        </w:rPr>
        <w:t>《水质采样方案设计规定》。如果奶牛饮用水是自来水或抽水设备中的水样时，应先放水数分钟，使积留在水管中的杂质及陈旧水排出，然后再取样。样品盛入无菌采样瓶中，</w:t>
      </w:r>
      <w:r>
        <w:rPr>
          <w:sz w:val="22"/>
          <w:szCs w:val="22"/>
        </w:rPr>
        <w:t>100</w:t>
      </w:r>
      <w:r>
        <w:rPr>
          <w:rFonts w:hint="eastAsia"/>
          <w:sz w:val="22"/>
          <w:szCs w:val="22"/>
        </w:rPr>
        <w:t xml:space="preserve"> </w:t>
      </w:r>
      <w:r>
        <w:rPr>
          <w:sz w:val="22"/>
          <w:szCs w:val="22"/>
        </w:rPr>
        <w:t>mL</w:t>
      </w:r>
      <w:r>
        <w:rPr>
          <w:rFonts w:hint="eastAsia"/>
          <w:sz w:val="22"/>
          <w:szCs w:val="22"/>
        </w:rPr>
        <w:t>×</w:t>
      </w:r>
      <w:r>
        <w:rPr>
          <w:sz w:val="22"/>
          <w:szCs w:val="22"/>
        </w:rPr>
        <w:t>3</w:t>
      </w:r>
      <w:r>
        <w:rPr>
          <w:rFonts w:hint="eastAsia"/>
          <w:sz w:val="22"/>
          <w:szCs w:val="22"/>
        </w:rPr>
        <w:t>份。（</w:t>
      </w:r>
      <w:r>
        <w:rPr>
          <w:sz w:val="22"/>
          <w:szCs w:val="22"/>
        </w:rPr>
        <w:t>10</w:t>
      </w:r>
      <w:r>
        <w:rPr>
          <w:rFonts w:hint="eastAsia"/>
          <w:sz w:val="22"/>
          <w:szCs w:val="22"/>
        </w:rPr>
        <w:t>）</w:t>
      </w:r>
      <w:r>
        <w:rPr>
          <w:sz w:val="22"/>
          <w:szCs w:val="22"/>
        </w:rPr>
        <w:t>TMR</w:t>
      </w:r>
      <w:r>
        <w:rPr>
          <w:rFonts w:hint="eastAsia"/>
          <w:sz w:val="22"/>
          <w:szCs w:val="22"/>
        </w:rPr>
        <w:t>饲料，按照</w:t>
      </w:r>
      <w:r>
        <w:rPr>
          <w:sz w:val="22"/>
          <w:szCs w:val="22"/>
        </w:rPr>
        <w:t>NY/T 3049-2016</w:t>
      </w:r>
      <w:r>
        <w:rPr>
          <w:rFonts w:hint="eastAsia"/>
          <w:sz w:val="22"/>
          <w:szCs w:val="22"/>
        </w:rPr>
        <w:t>《奶牛全混合日粮生产技术规程》附录</w:t>
      </w:r>
      <w:r>
        <w:rPr>
          <w:sz w:val="22"/>
          <w:szCs w:val="22"/>
        </w:rPr>
        <w:t>B</w:t>
      </w:r>
      <w:r>
        <w:rPr>
          <w:rFonts w:hint="eastAsia"/>
          <w:sz w:val="22"/>
          <w:szCs w:val="22"/>
        </w:rPr>
        <w:t>的程序采集：搅拌车投料后，立刻采样，采样时，取</w:t>
      </w:r>
      <w:r>
        <w:rPr>
          <w:sz w:val="22"/>
          <w:szCs w:val="22"/>
        </w:rPr>
        <w:t>TMR</w:t>
      </w:r>
      <w:r>
        <w:rPr>
          <w:rFonts w:hint="eastAsia"/>
          <w:sz w:val="22"/>
          <w:szCs w:val="22"/>
        </w:rPr>
        <w:t>样品，将</w:t>
      </w:r>
      <w:r>
        <w:rPr>
          <w:sz w:val="22"/>
          <w:szCs w:val="22"/>
        </w:rPr>
        <w:t>TMR</w:t>
      </w:r>
      <w:r>
        <w:rPr>
          <w:rFonts w:hint="eastAsia"/>
          <w:sz w:val="22"/>
          <w:szCs w:val="22"/>
        </w:rPr>
        <w:t>样品放到塑料桶内。槽道内共采集</w:t>
      </w:r>
      <w:r>
        <w:rPr>
          <w:sz w:val="22"/>
          <w:szCs w:val="22"/>
        </w:rPr>
        <w:t>10</w:t>
      </w:r>
      <w:r>
        <w:rPr>
          <w:rFonts w:hint="eastAsia"/>
          <w:sz w:val="22"/>
          <w:szCs w:val="22"/>
        </w:rPr>
        <w:t>个位点的</w:t>
      </w:r>
      <w:r>
        <w:rPr>
          <w:sz w:val="22"/>
          <w:szCs w:val="22"/>
        </w:rPr>
        <w:t>TMR</w:t>
      </w:r>
      <w:r>
        <w:rPr>
          <w:rFonts w:hint="eastAsia"/>
          <w:sz w:val="22"/>
          <w:szCs w:val="22"/>
        </w:rPr>
        <w:t>，每个位点不少于</w:t>
      </w:r>
      <w:r>
        <w:rPr>
          <w:sz w:val="22"/>
          <w:szCs w:val="22"/>
        </w:rPr>
        <w:t>0.5</w:t>
      </w:r>
      <w:r>
        <w:rPr>
          <w:rFonts w:hint="eastAsia"/>
          <w:sz w:val="22"/>
          <w:szCs w:val="22"/>
        </w:rPr>
        <w:t xml:space="preserve"> </w:t>
      </w:r>
      <w:r>
        <w:rPr>
          <w:sz w:val="22"/>
          <w:szCs w:val="22"/>
        </w:rPr>
        <w:t>kg</w:t>
      </w:r>
      <w:r>
        <w:rPr>
          <w:rFonts w:hint="eastAsia"/>
          <w:sz w:val="22"/>
          <w:szCs w:val="22"/>
        </w:rPr>
        <w:t>。将样品混合均匀，按照四分法操作步骤，将样品缩分为</w:t>
      </w:r>
      <w:r>
        <w:rPr>
          <w:sz w:val="22"/>
          <w:szCs w:val="22"/>
        </w:rPr>
        <w:t>0.5</w:t>
      </w:r>
      <w:r>
        <w:rPr>
          <w:rFonts w:hint="eastAsia"/>
          <w:sz w:val="22"/>
          <w:szCs w:val="22"/>
        </w:rPr>
        <w:t xml:space="preserve"> </w:t>
      </w:r>
      <w:r>
        <w:rPr>
          <w:sz w:val="22"/>
          <w:szCs w:val="22"/>
        </w:rPr>
        <w:t>kg</w:t>
      </w:r>
      <w:r>
        <w:rPr>
          <w:rFonts w:hint="eastAsia"/>
          <w:sz w:val="22"/>
          <w:szCs w:val="22"/>
        </w:rPr>
        <w:t>，充分混合后，取</w:t>
      </w:r>
      <w:r>
        <w:rPr>
          <w:sz w:val="22"/>
          <w:szCs w:val="22"/>
        </w:rPr>
        <w:t>50</w:t>
      </w:r>
      <w:r>
        <w:rPr>
          <w:rFonts w:hint="eastAsia"/>
          <w:sz w:val="22"/>
          <w:szCs w:val="22"/>
        </w:rPr>
        <w:t xml:space="preserve"> </w:t>
      </w:r>
      <w:r>
        <w:rPr>
          <w:sz w:val="22"/>
          <w:szCs w:val="22"/>
        </w:rPr>
        <w:t>g</w:t>
      </w:r>
      <w:r>
        <w:rPr>
          <w:rFonts w:hint="eastAsia"/>
          <w:sz w:val="22"/>
          <w:szCs w:val="22"/>
        </w:rPr>
        <w:t>左右样品分为</w:t>
      </w:r>
      <w:r>
        <w:rPr>
          <w:sz w:val="22"/>
          <w:szCs w:val="22"/>
        </w:rPr>
        <w:t>3</w:t>
      </w:r>
      <w:r>
        <w:rPr>
          <w:rFonts w:hint="eastAsia"/>
          <w:sz w:val="22"/>
          <w:szCs w:val="22"/>
        </w:rPr>
        <w:t>份，装入无菌容器中。</w:t>
      </w:r>
    </w:p>
    <w:p>
      <w:pPr>
        <w:pStyle w:val="3"/>
        <w:spacing w:beforeAutospacing="0" w:afterAutospacing="0" w:line="360" w:lineRule="auto"/>
        <w:ind w:firstLine="220" w:firstLineChars="100"/>
        <w:rPr>
          <w:rFonts w:hint="default" w:ascii="Times New Roman" w:hAnsi="Times New Roman"/>
          <w:b w:val="0"/>
          <w:bCs w:val="0"/>
          <w:kern w:val="2"/>
          <w:sz w:val="22"/>
          <w:szCs w:val="22"/>
        </w:rPr>
      </w:pPr>
      <w:bookmarkStart w:id="0" w:name="_Toc42261821"/>
      <w:r>
        <w:rPr>
          <w:rFonts w:ascii="Times New Roman" w:hAnsi="Times New Roman"/>
          <w:b w:val="0"/>
          <w:bCs w:val="0"/>
          <w:kern w:val="2"/>
          <w:sz w:val="22"/>
          <w:szCs w:val="22"/>
        </w:rPr>
        <w:t>（</w:t>
      </w:r>
      <w:r>
        <w:rPr>
          <w:rFonts w:hint="default" w:ascii="Times New Roman" w:hAnsi="Times New Roman"/>
          <w:b w:val="0"/>
          <w:bCs w:val="0"/>
          <w:kern w:val="2"/>
          <w:sz w:val="22"/>
          <w:szCs w:val="22"/>
        </w:rPr>
        <w:t>2</w:t>
      </w:r>
      <w:r>
        <w:rPr>
          <w:rFonts w:ascii="Times New Roman" w:hAnsi="Times New Roman"/>
          <w:b w:val="0"/>
          <w:bCs w:val="0"/>
          <w:kern w:val="2"/>
          <w:sz w:val="22"/>
          <w:szCs w:val="22"/>
        </w:rPr>
        <w:t>）验证的项目参数和方法</w:t>
      </w:r>
      <w:bookmarkEnd w:id="0"/>
    </w:p>
    <w:p>
      <w:pPr>
        <w:spacing w:line="360" w:lineRule="auto"/>
        <w:ind w:firstLine="570"/>
        <w:rPr>
          <w:sz w:val="22"/>
          <w:szCs w:val="22"/>
        </w:rPr>
      </w:pPr>
      <w:r>
        <w:rPr>
          <w:rFonts w:hint="eastAsia"/>
          <w:sz w:val="22"/>
          <w:szCs w:val="22"/>
        </w:rPr>
        <w:t>选择生鲜乳生产的典型路径，通过潜在有害微生物污染环节的全路径分析，对生鲜乳生产过程中各有害微生物的来源进行分析。其中奶罐奶、乳头奶、乳房表面微生物样品和奶杯表面微生物样品均出具定量结果，其余类型样品如粪便、垫料、土壤等出具定性结果即可。</w:t>
      </w:r>
    </w:p>
    <w:p>
      <w:pPr>
        <w:pStyle w:val="2"/>
        <w:spacing w:before="0" w:after="0" w:line="360" w:lineRule="auto"/>
        <w:ind w:firstLine="220" w:firstLineChars="100"/>
        <w:rPr>
          <w:rFonts w:ascii="Times New Roman" w:hAnsi="Times New Roman" w:eastAsia="宋体" w:cs="Times New Roman"/>
          <w:b w:val="0"/>
          <w:bCs w:val="0"/>
          <w:sz w:val="22"/>
          <w:szCs w:val="22"/>
        </w:rPr>
      </w:pPr>
      <w:bookmarkStart w:id="1" w:name="_Toc42261822"/>
      <w:r>
        <w:rPr>
          <w:rFonts w:hint="eastAsia" w:ascii="Times New Roman" w:hAnsi="Times New Roman" w:eastAsia="宋体" w:cs="Times New Roman"/>
          <w:b w:val="0"/>
          <w:bCs w:val="0"/>
          <w:sz w:val="22"/>
          <w:szCs w:val="22"/>
        </w:rPr>
        <w:t>（</w:t>
      </w:r>
      <w:r>
        <w:rPr>
          <w:rFonts w:ascii="Times New Roman" w:hAnsi="Times New Roman" w:eastAsia="宋体" w:cs="Times New Roman"/>
          <w:b w:val="0"/>
          <w:bCs w:val="0"/>
          <w:sz w:val="22"/>
          <w:szCs w:val="22"/>
        </w:rPr>
        <w:t>3</w:t>
      </w:r>
      <w:r>
        <w:rPr>
          <w:rFonts w:hint="eastAsia" w:ascii="Times New Roman" w:hAnsi="Times New Roman" w:eastAsia="宋体" w:cs="Times New Roman"/>
          <w:b w:val="0"/>
          <w:bCs w:val="0"/>
          <w:sz w:val="22"/>
          <w:szCs w:val="22"/>
        </w:rPr>
        <w:t>）有害微生物溯源验证结果及分析</w:t>
      </w:r>
      <w:bookmarkEnd w:id="1"/>
    </w:p>
    <w:p>
      <w:pPr>
        <w:spacing w:line="360" w:lineRule="auto"/>
        <w:ind w:firstLine="440" w:firstLineChars="200"/>
        <w:rPr>
          <w:sz w:val="22"/>
          <w:szCs w:val="22"/>
        </w:rPr>
      </w:pPr>
      <w:r>
        <w:rPr>
          <w:rFonts w:hint="eastAsia"/>
          <w:sz w:val="22"/>
          <w:szCs w:val="22"/>
        </w:rPr>
        <w:t>全年共采集溯源验证样品</w:t>
      </w:r>
      <w:r>
        <w:rPr>
          <w:sz w:val="22"/>
          <w:szCs w:val="22"/>
        </w:rPr>
        <w:t>188</w:t>
      </w:r>
      <w:r>
        <w:rPr>
          <w:rFonts w:hint="eastAsia"/>
          <w:sz w:val="22"/>
          <w:szCs w:val="22"/>
        </w:rPr>
        <w:t>批次，</w:t>
      </w:r>
      <w:r>
        <w:rPr>
          <w:sz w:val="22"/>
          <w:szCs w:val="22"/>
        </w:rPr>
        <w:t>7</w:t>
      </w:r>
      <w:r>
        <w:rPr>
          <w:rFonts w:hint="eastAsia"/>
          <w:sz w:val="22"/>
          <w:szCs w:val="22"/>
        </w:rPr>
        <w:t>种有害微生物的检出情况详见表3及下图6</w:t>
      </w:r>
      <w:r>
        <w:rPr>
          <w:sz w:val="22"/>
          <w:szCs w:val="22"/>
        </w:rPr>
        <w:t>-</w:t>
      </w:r>
      <w:r>
        <w:rPr>
          <w:rFonts w:hint="eastAsia"/>
          <w:sz w:val="22"/>
          <w:szCs w:val="22"/>
        </w:rPr>
        <w:t>10。全年溯源样品中致病微生物分离率又高到低依次排列为：大肠杆菌分离率</w:t>
      </w:r>
      <w:r>
        <w:rPr>
          <w:sz w:val="22"/>
          <w:szCs w:val="22"/>
        </w:rPr>
        <w:t>17.55%</w:t>
      </w:r>
      <w:r>
        <w:rPr>
          <w:rFonts w:hint="eastAsia"/>
          <w:sz w:val="22"/>
          <w:szCs w:val="22"/>
        </w:rPr>
        <w:t>、金黄色葡萄球菌分离率</w:t>
      </w:r>
      <w:r>
        <w:rPr>
          <w:sz w:val="22"/>
          <w:szCs w:val="22"/>
        </w:rPr>
        <w:t>1.60%</w:t>
      </w:r>
      <w:r>
        <w:rPr>
          <w:rFonts w:hint="eastAsia"/>
          <w:sz w:val="22"/>
          <w:szCs w:val="22"/>
        </w:rPr>
        <w:t>、单核细胞增生李斯特菌和无乳链球菌分离率均为</w:t>
      </w:r>
      <w:r>
        <w:rPr>
          <w:sz w:val="22"/>
          <w:szCs w:val="22"/>
        </w:rPr>
        <w:t>0</w:t>
      </w:r>
      <w:r>
        <w:rPr>
          <w:rFonts w:hint="eastAsia"/>
          <w:sz w:val="22"/>
          <w:szCs w:val="22"/>
        </w:rPr>
        <w:t>。腐败型微生物分离率由高到低依次排列为：需氧芽孢总数分离率</w:t>
      </w:r>
      <w:r>
        <w:rPr>
          <w:sz w:val="22"/>
          <w:szCs w:val="22"/>
        </w:rPr>
        <w:t>81.91%</w:t>
      </w:r>
      <w:r>
        <w:rPr>
          <w:rFonts w:hint="eastAsia"/>
          <w:sz w:val="22"/>
          <w:szCs w:val="22"/>
        </w:rPr>
        <w:t>、嗜冷菌分离率</w:t>
      </w:r>
      <w:r>
        <w:rPr>
          <w:sz w:val="22"/>
          <w:szCs w:val="22"/>
        </w:rPr>
        <w:t>69.68%</w:t>
      </w:r>
      <w:r>
        <w:rPr>
          <w:rFonts w:hint="eastAsia"/>
          <w:sz w:val="22"/>
          <w:szCs w:val="22"/>
        </w:rPr>
        <w:t>、嗜热需氧芽孢杆菌分离率</w:t>
      </w:r>
      <w:r>
        <w:rPr>
          <w:sz w:val="22"/>
          <w:szCs w:val="22"/>
        </w:rPr>
        <w:t>59.57%</w:t>
      </w:r>
      <w:r>
        <w:rPr>
          <w:rFonts w:hint="eastAsia"/>
          <w:sz w:val="22"/>
          <w:szCs w:val="22"/>
        </w:rPr>
        <w:t>。</w:t>
      </w:r>
    </w:p>
    <w:p>
      <w:pPr>
        <w:spacing w:line="360" w:lineRule="auto"/>
        <w:ind w:firstLine="440" w:firstLineChars="200"/>
        <w:jc w:val="left"/>
        <w:rPr>
          <w:sz w:val="22"/>
          <w:szCs w:val="22"/>
        </w:rPr>
      </w:pPr>
      <w:r>
        <w:rPr>
          <w:rFonts w:hint="eastAsia"/>
          <w:sz w:val="22"/>
          <w:szCs w:val="22"/>
        </w:rPr>
        <w:t>从结果来看，金黄葡萄球菌污染的导入环节主要为垫料和乳房表面，</w:t>
      </w:r>
      <w:r>
        <w:rPr>
          <w:sz w:val="22"/>
          <w:szCs w:val="22"/>
        </w:rPr>
        <w:t>1</w:t>
      </w:r>
      <w:r>
        <w:rPr>
          <w:rFonts w:hint="eastAsia"/>
          <w:sz w:val="22"/>
          <w:szCs w:val="22"/>
        </w:rPr>
        <w:t>批次垫料样品被检出，</w:t>
      </w:r>
      <w:r>
        <w:rPr>
          <w:sz w:val="22"/>
          <w:szCs w:val="22"/>
        </w:rPr>
        <w:t>2</w:t>
      </w:r>
      <w:r>
        <w:rPr>
          <w:rFonts w:hint="eastAsia"/>
          <w:sz w:val="22"/>
          <w:szCs w:val="22"/>
        </w:rPr>
        <w:t>批次乳房表面样被检出；共</w:t>
      </w:r>
      <w:r>
        <w:rPr>
          <w:sz w:val="22"/>
          <w:szCs w:val="22"/>
        </w:rPr>
        <w:t>33</w:t>
      </w:r>
      <w:r>
        <w:rPr>
          <w:rFonts w:hint="eastAsia"/>
          <w:sz w:val="22"/>
          <w:szCs w:val="22"/>
        </w:rPr>
        <w:t>批次样品中被检出大肠杆菌，污染导入风险由高到低的环节为垫料、土壤、粪便、</w:t>
      </w:r>
      <w:r>
        <w:rPr>
          <w:sz w:val="22"/>
          <w:szCs w:val="22"/>
        </w:rPr>
        <w:t>TMR</w:t>
      </w:r>
      <w:r>
        <w:rPr>
          <w:rFonts w:hint="eastAsia"/>
          <w:sz w:val="22"/>
          <w:szCs w:val="22"/>
        </w:rPr>
        <w:t>饲料、乳房表面、空气、取奶人员手部；嗜冷菌在养殖环境中广泛分布，项目共检出</w:t>
      </w:r>
      <w:r>
        <w:rPr>
          <w:sz w:val="22"/>
          <w:szCs w:val="22"/>
        </w:rPr>
        <w:t>131</w:t>
      </w:r>
      <w:r>
        <w:rPr>
          <w:rFonts w:hint="eastAsia"/>
          <w:sz w:val="22"/>
          <w:szCs w:val="22"/>
        </w:rPr>
        <w:t>批次，除水样外均有检出，其中每个月均有检出的高风险环节为粪便、土壤、空气、垫料、取奶人员手部，其次为奶罐取样口、乳房表面、</w:t>
      </w:r>
      <w:r>
        <w:rPr>
          <w:sz w:val="22"/>
          <w:szCs w:val="22"/>
        </w:rPr>
        <w:t>TMR</w:t>
      </w:r>
      <w:r>
        <w:rPr>
          <w:rFonts w:hint="eastAsia"/>
          <w:sz w:val="22"/>
          <w:szCs w:val="22"/>
        </w:rPr>
        <w:t>饲料、奶衬表面；需氧芽孢在养殖环境中也广泛分布，共检出</w:t>
      </w:r>
      <w:r>
        <w:rPr>
          <w:sz w:val="22"/>
          <w:szCs w:val="22"/>
        </w:rPr>
        <w:t>154</w:t>
      </w:r>
      <w:r>
        <w:rPr>
          <w:rFonts w:hint="eastAsia"/>
          <w:sz w:val="22"/>
          <w:szCs w:val="22"/>
        </w:rPr>
        <w:t>批次，除奶罐取样口外均有检出，其中每月均有检出的高风险环节为粪便、土壤、垫料、</w:t>
      </w:r>
      <w:r>
        <w:rPr>
          <w:sz w:val="22"/>
          <w:szCs w:val="22"/>
        </w:rPr>
        <w:t>TMR</w:t>
      </w:r>
      <w:r>
        <w:rPr>
          <w:rFonts w:hint="eastAsia"/>
          <w:sz w:val="22"/>
          <w:szCs w:val="22"/>
        </w:rPr>
        <w:t>饲料、乳房表面、取奶人员手部、空气，其次为奶衬和水样；嗜热需氧芽孢在养殖环境中的分布也较为广泛，共检出</w:t>
      </w:r>
      <w:r>
        <w:rPr>
          <w:sz w:val="22"/>
          <w:szCs w:val="22"/>
        </w:rPr>
        <w:t>112</w:t>
      </w:r>
      <w:r>
        <w:rPr>
          <w:rFonts w:hint="eastAsia"/>
          <w:sz w:val="22"/>
          <w:szCs w:val="22"/>
        </w:rPr>
        <w:t>批次，但奶罐口和奶衬表面未检出，每月均有检出的高风险环节为粪便和垫料，其次为土壤、空气、取奶人员手部、乳房表面、</w:t>
      </w:r>
      <w:r>
        <w:rPr>
          <w:sz w:val="22"/>
          <w:szCs w:val="22"/>
        </w:rPr>
        <w:t>TMR</w:t>
      </w:r>
      <w:r>
        <w:rPr>
          <w:rFonts w:hint="eastAsia"/>
          <w:sz w:val="22"/>
          <w:szCs w:val="22"/>
        </w:rPr>
        <w:t>饲料、水样。</w:t>
      </w:r>
    </w:p>
    <w:p>
      <w:pPr>
        <w:spacing w:line="360" w:lineRule="auto"/>
        <w:ind w:firstLine="440" w:firstLineChars="200"/>
        <w:jc w:val="left"/>
        <w:rPr>
          <w:sz w:val="22"/>
          <w:szCs w:val="22"/>
        </w:rPr>
      </w:pPr>
      <w:r>
        <w:rPr>
          <w:rFonts w:hint="eastAsia"/>
          <w:sz w:val="22"/>
          <w:szCs w:val="22"/>
        </w:rPr>
        <w:t>通过环节风险排查及溯源验证结果表明，挤奶及储奶设备是重要的风险点，因此开展奶畜养殖场挤奶及储奶设备清洗消毒规范的研究尤为重要。</w:t>
      </w:r>
    </w:p>
    <w:p>
      <w:pPr>
        <w:spacing w:line="360" w:lineRule="auto"/>
        <w:jc w:val="left"/>
        <w:rPr>
          <w:sz w:val="22"/>
          <w:szCs w:val="22"/>
        </w:rPr>
      </w:pPr>
      <w:r>
        <w:rPr>
          <w:sz w:val="22"/>
          <w:szCs w:val="22"/>
        </w:rPr>
        <w:drawing>
          <wp:inline distT="0" distB="0" distL="0" distR="0">
            <wp:extent cx="5232400" cy="2611120"/>
            <wp:effectExtent l="9525" t="9525" r="15875" b="2730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32400" cy="2611120"/>
                    </a:xfrm>
                    <a:prstGeom prst="rect">
                      <a:avLst/>
                    </a:prstGeom>
                    <a:noFill/>
                    <a:ln w="3175" cmpd="sng">
                      <a:solidFill>
                        <a:schemeClr val="tx1"/>
                      </a:solidFill>
                      <a:prstDash val="soli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图6 溯源样品中金黄色葡萄球菌的检出率</w:t>
      </w:r>
    </w:p>
    <w:p>
      <w:pPr>
        <w:rPr>
          <w:sz w:val="22"/>
          <w:szCs w:val="22"/>
        </w:rPr>
      </w:pPr>
    </w:p>
    <w:p>
      <w:pPr>
        <w:rPr>
          <w:sz w:val="22"/>
          <w:szCs w:val="22"/>
        </w:rPr>
      </w:pPr>
    </w:p>
    <w:p>
      <w:pPr>
        <w:rPr>
          <w:sz w:val="22"/>
          <w:szCs w:val="22"/>
        </w:rPr>
      </w:pPr>
      <w:r>
        <w:rPr>
          <w:sz w:val="22"/>
          <w:szCs w:val="22"/>
        </w:rPr>
        <w:drawing>
          <wp:inline distT="0" distB="0" distL="0" distR="0">
            <wp:extent cx="5248275" cy="2691765"/>
            <wp:effectExtent l="9525" t="9525" r="19050" b="228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48275" cy="2691765"/>
                    </a:xfrm>
                    <a:prstGeom prst="rect">
                      <a:avLst/>
                    </a:prstGeom>
                    <a:noFill/>
                    <a:ln w="6350" cmpd="sng">
                      <a:solidFill>
                        <a:schemeClr val="tx1"/>
                      </a:solidFill>
                      <a:prstDash val="solid"/>
                    </a:ln>
                  </pic:spPr>
                </pic:pic>
              </a:graphicData>
            </a:graphic>
          </wp:inline>
        </w:drawing>
      </w:r>
    </w:p>
    <w:p>
      <w:pPr>
        <w:spacing w:beforeLines="50"/>
        <w:jc w:val="center"/>
        <w:rPr>
          <w:rFonts w:hint="eastAsia" w:ascii="宋体" w:hAnsi="宋体" w:cs="宋体"/>
          <w:b/>
          <w:color w:val="000000"/>
        </w:rPr>
      </w:pPr>
      <w:r>
        <w:rPr>
          <w:rFonts w:hint="eastAsia" w:ascii="宋体" w:hAnsi="宋体" w:cs="宋体"/>
          <w:b/>
          <w:color w:val="000000"/>
        </w:rPr>
        <w:t>图7  溯源样品中大肠杆菌的检出率</w:t>
      </w:r>
    </w:p>
    <w:p>
      <w:pPr>
        <w:spacing w:beforeLines="50"/>
        <w:jc w:val="center"/>
        <w:rPr>
          <w:rFonts w:hint="eastAsia" w:ascii="宋体" w:hAnsi="宋体" w:cs="宋体"/>
          <w:b/>
          <w:color w:val="000000"/>
        </w:rPr>
      </w:pPr>
    </w:p>
    <w:p>
      <w:pPr>
        <w:rPr>
          <w:sz w:val="22"/>
          <w:szCs w:val="22"/>
        </w:rPr>
      </w:pPr>
    </w:p>
    <w:p>
      <w:pPr>
        <w:rPr>
          <w:sz w:val="22"/>
          <w:szCs w:val="22"/>
        </w:rPr>
      </w:pPr>
      <w:r>
        <w:rPr>
          <w:sz w:val="22"/>
          <w:szCs w:val="22"/>
        </w:rPr>
        <w:drawing>
          <wp:inline distT="0" distB="0" distL="0" distR="0">
            <wp:extent cx="5203825" cy="2500630"/>
            <wp:effectExtent l="12700" t="12700" r="22225" b="203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03825" cy="2500630"/>
                    </a:xfrm>
                    <a:prstGeom prst="rect">
                      <a:avLst/>
                    </a:prstGeom>
                    <a:noFill/>
                    <a:ln w="12700" cmpd="sng">
                      <a:solidFill>
                        <a:schemeClr val="tx1"/>
                      </a:solidFill>
                      <a:prstDash val="soli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图8 溯源样品中嗜冷菌的检出率</w:t>
      </w:r>
    </w:p>
    <w:p>
      <w:pPr>
        <w:rPr>
          <w:sz w:val="22"/>
          <w:szCs w:val="22"/>
        </w:rPr>
      </w:pPr>
    </w:p>
    <w:p>
      <w:pPr>
        <w:rPr>
          <w:sz w:val="22"/>
          <w:szCs w:val="22"/>
        </w:rPr>
      </w:pPr>
      <w:r>
        <w:rPr>
          <w:sz w:val="22"/>
          <w:szCs w:val="22"/>
        </w:rPr>
        <w:drawing>
          <wp:inline distT="0" distB="0" distL="0" distR="0">
            <wp:extent cx="5169535" cy="2541905"/>
            <wp:effectExtent l="9525" t="9525" r="21590" b="203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169535" cy="2541905"/>
                    </a:xfrm>
                    <a:prstGeom prst="rect">
                      <a:avLst/>
                    </a:prstGeom>
                    <a:noFill/>
                    <a:ln w="6350" cmpd="sng">
                      <a:solidFill>
                        <a:schemeClr val="tx1"/>
                      </a:solidFill>
                      <a:prstDash val="solid"/>
                    </a:ln>
                  </pic:spPr>
                </pic:pic>
              </a:graphicData>
            </a:graphic>
          </wp:inline>
        </w:drawing>
      </w:r>
    </w:p>
    <w:p>
      <w:pPr>
        <w:spacing w:beforeLines="50"/>
        <w:jc w:val="center"/>
        <w:rPr>
          <w:rFonts w:ascii="宋体" w:hAnsi="宋体" w:cs="宋体"/>
          <w:b/>
          <w:color w:val="000000"/>
        </w:rPr>
      </w:pPr>
      <w:r>
        <w:rPr>
          <w:rFonts w:hint="eastAsia" w:ascii="宋体" w:hAnsi="宋体" w:cs="宋体"/>
          <w:b/>
          <w:color w:val="000000"/>
        </w:rPr>
        <w:t>图9 溯源样品中需氧芽孢的检出率</w:t>
      </w:r>
    </w:p>
    <w:p>
      <w:pPr>
        <w:spacing w:beforeLines="50"/>
        <w:jc w:val="center"/>
        <w:rPr>
          <w:rFonts w:ascii="宋体" w:hAnsi="宋体" w:cs="宋体"/>
          <w:b/>
          <w:color w:val="000000"/>
        </w:rPr>
      </w:pPr>
    </w:p>
    <w:p>
      <w:pPr>
        <w:rPr>
          <w:sz w:val="22"/>
          <w:szCs w:val="22"/>
        </w:rPr>
      </w:pPr>
    </w:p>
    <w:p>
      <w:pPr>
        <w:rPr>
          <w:sz w:val="22"/>
          <w:szCs w:val="22"/>
        </w:rPr>
      </w:pPr>
      <w:r>
        <w:rPr>
          <w:sz w:val="22"/>
          <w:szCs w:val="22"/>
        </w:rPr>
        <w:drawing>
          <wp:inline distT="0" distB="0" distL="0" distR="0">
            <wp:extent cx="5233670" cy="2512695"/>
            <wp:effectExtent l="9525" t="9525" r="14605" b="1143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233670" cy="2512695"/>
                    </a:xfrm>
                    <a:prstGeom prst="rect">
                      <a:avLst/>
                    </a:prstGeom>
                    <a:noFill/>
                    <a:ln w="6350" cmpd="sng">
                      <a:solidFill>
                        <a:schemeClr val="tx1"/>
                      </a:solidFill>
                      <a:prstDash val="solid"/>
                    </a:ln>
                  </pic:spPr>
                </pic:pic>
              </a:graphicData>
            </a:graphic>
          </wp:inline>
        </w:drawing>
      </w:r>
    </w:p>
    <w:p>
      <w:pPr>
        <w:spacing w:beforeLines="50" w:afterLines="50" w:line="360" w:lineRule="auto"/>
        <w:ind w:firstLine="440" w:firstLineChars="200"/>
        <w:contextualSpacing/>
        <w:jc w:val="center"/>
        <w:rPr>
          <w:rFonts w:ascii="黑体" w:hAnsi="黑体" w:eastAsia="黑体" w:cs="黑体"/>
          <w:kern w:val="0"/>
          <w:sz w:val="22"/>
          <w:szCs w:val="22"/>
        </w:rPr>
      </w:pPr>
      <w:r>
        <w:rPr>
          <w:rFonts w:hint="eastAsia" w:ascii="黑体" w:hAnsi="黑体" w:eastAsia="黑体" w:cs="黑体"/>
          <w:kern w:val="0"/>
          <w:sz w:val="22"/>
          <w:szCs w:val="22"/>
        </w:rPr>
        <w:t>图10 溯源样品中嗜热需氧芽孢的检出率</w:t>
      </w:r>
    </w:p>
    <w:p>
      <w:pPr>
        <w:jc w:val="center"/>
        <w:rPr>
          <w:b/>
          <w:sz w:val="22"/>
          <w:szCs w:val="22"/>
        </w:rPr>
        <w:sectPr>
          <w:footerReference r:id="rId4" w:type="default"/>
          <w:pgSz w:w="11906" w:h="16838"/>
          <w:pgMar w:top="1440" w:right="1800" w:bottom="1440" w:left="1800" w:header="851" w:footer="992" w:gutter="0"/>
          <w:pgNumType w:start="1"/>
          <w:cols w:space="425" w:num="1"/>
          <w:docGrid w:type="lines" w:linePitch="312" w:charSpace="0"/>
        </w:sectPr>
      </w:pPr>
    </w:p>
    <w:p>
      <w:pPr>
        <w:spacing w:line="360" w:lineRule="auto"/>
        <w:jc w:val="center"/>
        <w:rPr>
          <w:rFonts w:ascii="宋体" w:hAnsi="宋体" w:cs="宋体"/>
          <w:b/>
          <w:bCs/>
          <w:szCs w:val="21"/>
        </w:rPr>
      </w:pPr>
      <w:r>
        <w:rPr>
          <w:rFonts w:hint="eastAsia" w:ascii="宋体" w:hAnsi="宋体" w:cs="宋体"/>
          <w:b/>
          <w:bCs/>
          <w:szCs w:val="21"/>
        </w:rPr>
        <w:t>表3  贮奶罐口、奶衬表面等溯源样品中有害微生物的检出情况</w:t>
      </w:r>
    </w:p>
    <w:tbl>
      <w:tblPr>
        <w:tblStyle w:val="8"/>
        <w:tblW w:w="13765" w:type="dxa"/>
        <w:tblInd w:w="93" w:type="dxa"/>
        <w:tblLayout w:type="autofit"/>
        <w:tblCellMar>
          <w:top w:w="0" w:type="dxa"/>
          <w:left w:w="108" w:type="dxa"/>
          <w:bottom w:w="0" w:type="dxa"/>
          <w:right w:w="108" w:type="dxa"/>
        </w:tblCellMar>
      </w:tblPr>
      <w:tblGrid>
        <w:gridCol w:w="1423"/>
        <w:gridCol w:w="1286"/>
        <w:gridCol w:w="954"/>
        <w:gridCol w:w="1534"/>
        <w:gridCol w:w="1197"/>
        <w:gridCol w:w="1559"/>
        <w:gridCol w:w="1134"/>
        <w:gridCol w:w="1276"/>
        <w:gridCol w:w="1486"/>
        <w:gridCol w:w="1916"/>
      </w:tblGrid>
      <w:tr>
        <w:tblPrEx>
          <w:tblCellMar>
            <w:top w:w="0" w:type="dxa"/>
            <w:left w:w="108" w:type="dxa"/>
            <w:bottom w:w="0" w:type="dxa"/>
            <w:right w:w="108" w:type="dxa"/>
          </w:tblCellMar>
        </w:tblPrEx>
        <w:trPr>
          <w:trHeight w:val="1035" w:hRule="atLeast"/>
        </w:trPr>
        <w:tc>
          <w:tcPr>
            <w:tcW w:w="1423"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样品类型</w:t>
            </w:r>
          </w:p>
        </w:tc>
        <w:tc>
          <w:tcPr>
            <w:tcW w:w="128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样品名称</w:t>
            </w:r>
          </w:p>
        </w:tc>
        <w:tc>
          <w:tcPr>
            <w:tcW w:w="95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样品数量（批次）</w:t>
            </w:r>
          </w:p>
        </w:tc>
        <w:tc>
          <w:tcPr>
            <w:tcW w:w="15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金黄色葡萄球菌检出率（%）</w:t>
            </w:r>
          </w:p>
        </w:tc>
        <w:tc>
          <w:tcPr>
            <w:tcW w:w="1197"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大肠杆菌</w:t>
            </w:r>
          </w:p>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检出率（%）</w:t>
            </w:r>
          </w:p>
        </w:tc>
        <w:tc>
          <w:tcPr>
            <w:tcW w:w="1559"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单增李斯特菌</w:t>
            </w:r>
          </w:p>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检出率（%）</w:t>
            </w:r>
          </w:p>
        </w:tc>
        <w:tc>
          <w:tcPr>
            <w:tcW w:w="1134"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无乳链球菌检出率（%）</w:t>
            </w:r>
          </w:p>
        </w:tc>
        <w:tc>
          <w:tcPr>
            <w:tcW w:w="127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嗜冷菌</w:t>
            </w:r>
          </w:p>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检出率（%）</w:t>
            </w:r>
          </w:p>
        </w:tc>
        <w:tc>
          <w:tcPr>
            <w:tcW w:w="148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需氧芽孢总数</w:t>
            </w:r>
          </w:p>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检出率（%）</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嗜热需氧芽孢数</w:t>
            </w:r>
          </w:p>
          <w:p>
            <w:pPr>
              <w:widowControl/>
              <w:spacing w:line="240" w:lineRule="exact"/>
              <w:jc w:val="center"/>
              <w:rPr>
                <w:rFonts w:ascii="宋体" w:hAnsi="宋体" w:cs="宋体"/>
                <w:b/>
                <w:bCs/>
                <w:kern w:val="0"/>
                <w:sz w:val="18"/>
                <w:szCs w:val="18"/>
              </w:rPr>
            </w:pPr>
            <w:r>
              <w:rPr>
                <w:rFonts w:hint="eastAsia" w:ascii="宋体" w:hAnsi="宋体" w:cs="宋体"/>
                <w:b/>
                <w:bCs/>
                <w:kern w:val="0"/>
                <w:sz w:val="18"/>
                <w:szCs w:val="18"/>
              </w:rPr>
              <w:t>检出率（%）</w:t>
            </w:r>
          </w:p>
        </w:tc>
      </w:tr>
      <w:tr>
        <w:tblPrEx>
          <w:tblCellMar>
            <w:top w:w="0" w:type="dxa"/>
            <w:left w:w="108" w:type="dxa"/>
            <w:bottom w:w="0" w:type="dxa"/>
            <w:right w:w="108" w:type="dxa"/>
          </w:tblCellMar>
        </w:tblPrEx>
        <w:trPr>
          <w:trHeight w:val="454" w:hRule="atLeast"/>
        </w:trPr>
        <w:tc>
          <w:tcPr>
            <w:tcW w:w="1423" w:type="dxa"/>
            <w:vMerge w:val="restart"/>
            <w:tcBorders>
              <w:top w:val="nil"/>
              <w:left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生鲜乳</w:t>
            </w:r>
          </w:p>
          <w:p>
            <w:pPr>
              <w:spacing w:line="240" w:lineRule="exact"/>
              <w:jc w:val="center"/>
              <w:rPr>
                <w:kern w:val="0"/>
                <w:sz w:val="18"/>
                <w:szCs w:val="18"/>
              </w:rPr>
            </w:pPr>
            <w:r>
              <w:rPr>
                <w:kern w:val="0"/>
                <w:sz w:val="18"/>
                <w:szCs w:val="18"/>
              </w:rPr>
              <w:t>样本</w:t>
            </w: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奶罐奶</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75.00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50.00</w:t>
            </w:r>
          </w:p>
        </w:tc>
      </w:tr>
      <w:tr>
        <w:tblPrEx>
          <w:tblCellMar>
            <w:top w:w="0" w:type="dxa"/>
            <w:left w:w="108" w:type="dxa"/>
            <w:bottom w:w="0" w:type="dxa"/>
            <w:right w:w="108" w:type="dxa"/>
          </w:tblCellMar>
        </w:tblPrEx>
        <w:trPr>
          <w:trHeight w:val="454" w:hRule="atLeast"/>
        </w:trPr>
        <w:tc>
          <w:tcPr>
            <w:tcW w:w="1423" w:type="dxa"/>
            <w:vMerge w:val="continue"/>
            <w:tcBorders>
              <w:left w:val="single" w:color="auto" w:sz="4" w:space="0"/>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乳头奶</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40</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82.50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85.00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52.50</w:t>
            </w:r>
          </w:p>
        </w:tc>
      </w:tr>
      <w:tr>
        <w:tblPrEx>
          <w:tblCellMar>
            <w:top w:w="0" w:type="dxa"/>
            <w:left w:w="108" w:type="dxa"/>
            <w:bottom w:w="0" w:type="dxa"/>
            <w:right w:w="108" w:type="dxa"/>
          </w:tblCellMar>
        </w:tblPrEx>
        <w:trPr>
          <w:trHeight w:val="454" w:hRule="atLeast"/>
        </w:trPr>
        <w:tc>
          <w:tcPr>
            <w:tcW w:w="1423" w:type="dxa"/>
            <w:vMerge w:val="restart"/>
            <w:tcBorders>
              <w:top w:val="nil"/>
              <w:left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养殖投</w:t>
            </w:r>
          </w:p>
          <w:p>
            <w:pPr>
              <w:spacing w:line="240" w:lineRule="exact"/>
              <w:jc w:val="center"/>
              <w:rPr>
                <w:kern w:val="0"/>
                <w:sz w:val="18"/>
                <w:szCs w:val="18"/>
              </w:rPr>
            </w:pPr>
            <w:r>
              <w:rPr>
                <w:kern w:val="0"/>
                <w:sz w:val="18"/>
                <w:szCs w:val="18"/>
              </w:rPr>
              <w:t>入品</w:t>
            </w: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TMR饲料</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50.00</w:t>
            </w:r>
          </w:p>
        </w:tc>
      </w:tr>
      <w:tr>
        <w:tblPrEx>
          <w:tblCellMar>
            <w:top w:w="0" w:type="dxa"/>
            <w:left w:w="108" w:type="dxa"/>
            <w:bottom w:w="0" w:type="dxa"/>
            <w:right w:w="108" w:type="dxa"/>
          </w:tblCellMar>
        </w:tblPrEx>
        <w:trPr>
          <w:trHeight w:val="379" w:hRule="atLeast"/>
        </w:trPr>
        <w:tc>
          <w:tcPr>
            <w:tcW w:w="1423" w:type="dxa"/>
            <w:vMerge w:val="continue"/>
            <w:tcBorders>
              <w:left w:val="single" w:color="auto" w:sz="4" w:space="0"/>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水样</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25.00</w:t>
            </w:r>
          </w:p>
        </w:tc>
      </w:tr>
      <w:tr>
        <w:tblPrEx>
          <w:tblCellMar>
            <w:top w:w="0" w:type="dxa"/>
            <w:left w:w="108" w:type="dxa"/>
            <w:bottom w:w="0" w:type="dxa"/>
            <w:right w:w="108" w:type="dxa"/>
          </w:tblCellMar>
        </w:tblPrEx>
        <w:trPr>
          <w:trHeight w:val="660" w:hRule="atLeast"/>
        </w:trPr>
        <w:tc>
          <w:tcPr>
            <w:tcW w:w="1423" w:type="dxa"/>
            <w:vMerge w:val="restart"/>
            <w:tcBorders>
              <w:top w:val="nil"/>
              <w:left w:val="single" w:color="auto" w:sz="4" w:space="0"/>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养殖环境</w:t>
            </w: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乳房表面微生物样</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40</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12.50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97.50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70.00</w:t>
            </w:r>
          </w:p>
        </w:tc>
      </w:tr>
      <w:tr>
        <w:tblPrEx>
          <w:tblCellMar>
            <w:top w:w="0" w:type="dxa"/>
            <w:left w:w="108" w:type="dxa"/>
            <w:bottom w:w="0" w:type="dxa"/>
            <w:right w:w="108" w:type="dxa"/>
          </w:tblCellMar>
        </w:tblPrEx>
        <w:trPr>
          <w:trHeight w:val="555"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取奶人员手部拭子</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40</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55.00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72.50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52.50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奶衬表面微生物样</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奶罐取样口表面微生物样</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75.00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垫料</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20</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spacing w:line="240" w:lineRule="exact"/>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空气样本</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20</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90.00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50.00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土壤样本</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75.00</w:t>
            </w:r>
          </w:p>
        </w:tc>
      </w:tr>
      <w:tr>
        <w:tblPrEx>
          <w:tblCellMar>
            <w:top w:w="0" w:type="dxa"/>
            <w:left w:w="108" w:type="dxa"/>
            <w:bottom w:w="0" w:type="dxa"/>
            <w:right w:w="108" w:type="dxa"/>
          </w:tblCellMar>
        </w:tblPrEx>
        <w:trPr>
          <w:trHeight w:val="454" w:hRule="atLeast"/>
        </w:trPr>
        <w:tc>
          <w:tcPr>
            <w:tcW w:w="1423" w:type="dxa"/>
            <w:vMerge w:val="continue"/>
            <w:tcBorders>
              <w:top w:val="nil"/>
              <w:left w:val="single" w:color="auto" w:sz="4" w:space="0"/>
              <w:bottom w:val="single" w:color="auto" w:sz="4" w:space="0"/>
              <w:right w:val="single" w:color="auto" w:sz="4" w:space="0"/>
            </w:tcBorders>
            <w:vAlign w:val="center"/>
          </w:tcPr>
          <w:p>
            <w:pPr>
              <w:widowControl/>
              <w:jc w:val="center"/>
              <w:rPr>
                <w:kern w:val="0"/>
                <w:sz w:val="18"/>
                <w:szCs w:val="18"/>
              </w:rPr>
            </w:pPr>
          </w:p>
        </w:tc>
        <w:tc>
          <w:tcPr>
            <w:tcW w:w="12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粪便样本</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4</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25.00</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100.00</w:t>
            </w:r>
          </w:p>
        </w:tc>
      </w:tr>
      <w:tr>
        <w:tblPrEx>
          <w:tblCellMar>
            <w:top w:w="0" w:type="dxa"/>
            <w:left w:w="108" w:type="dxa"/>
            <w:bottom w:w="0" w:type="dxa"/>
            <w:right w:w="108" w:type="dxa"/>
          </w:tblCellMar>
        </w:tblPrEx>
        <w:trPr>
          <w:trHeight w:val="454" w:hRule="atLeast"/>
        </w:trPr>
        <w:tc>
          <w:tcPr>
            <w:tcW w:w="2709"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合计</w:t>
            </w:r>
          </w:p>
        </w:tc>
        <w:tc>
          <w:tcPr>
            <w:tcW w:w="95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188</w:t>
            </w:r>
          </w:p>
        </w:tc>
        <w:tc>
          <w:tcPr>
            <w:tcW w:w="15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1.60</w:t>
            </w:r>
          </w:p>
        </w:tc>
        <w:tc>
          <w:tcPr>
            <w:tcW w:w="1197"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17.55</w:t>
            </w:r>
          </w:p>
        </w:tc>
        <w:tc>
          <w:tcPr>
            <w:tcW w:w="1559"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0.00</w:t>
            </w:r>
          </w:p>
        </w:tc>
        <w:tc>
          <w:tcPr>
            <w:tcW w:w="1134"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0</w:t>
            </w:r>
          </w:p>
        </w:tc>
        <w:tc>
          <w:tcPr>
            <w:tcW w:w="127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rFonts w:hint="eastAsia"/>
                <w:kern w:val="0"/>
                <w:sz w:val="18"/>
                <w:szCs w:val="18"/>
              </w:rPr>
              <w:t>69.68</w:t>
            </w:r>
          </w:p>
        </w:tc>
        <w:tc>
          <w:tcPr>
            <w:tcW w:w="1486" w:type="dxa"/>
            <w:tcBorders>
              <w:top w:val="nil"/>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81.91</w:t>
            </w:r>
          </w:p>
        </w:tc>
        <w:tc>
          <w:tcPr>
            <w:tcW w:w="1916" w:type="dxa"/>
            <w:tcBorders>
              <w:top w:val="single" w:color="auto" w:sz="4" w:space="0"/>
              <w:left w:val="nil"/>
              <w:bottom w:val="single" w:color="auto" w:sz="4" w:space="0"/>
              <w:right w:val="single" w:color="auto" w:sz="4" w:space="0"/>
            </w:tcBorders>
            <w:shd w:val="clear" w:color="auto" w:fill="auto"/>
            <w:vAlign w:val="center"/>
          </w:tcPr>
          <w:p>
            <w:pPr>
              <w:widowControl/>
              <w:spacing w:line="240" w:lineRule="exact"/>
              <w:jc w:val="center"/>
              <w:rPr>
                <w:kern w:val="0"/>
                <w:sz w:val="18"/>
                <w:szCs w:val="18"/>
              </w:rPr>
            </w:pPr>
            <w:r>
              <w:rPr>
                <w:kern w:val="0"/>
                <w:sz w:val="18"/>
                <w:szCs w:val="18"/>
              </w:rPr>
              <w:t>59.57</w:t>
            </w:r>
          </w:p>
        </w:tc>
      </w:tr>
    </w:tbl>
    <w:p>
      <w:pPr>
        <w:jc w:val="center"/>
        <w:rPr>
          <w:b/>
          <w:sz w:val="22"/>
          <w:szCs w:val="22"/>
        </w:rPr>
        <w:sectPr>
          <w:pgSz w:w="16838" w:h="11906" w:orient="landscape"/>
          <w:pgMar w:top="1797" w:right="1440" w:bottom="1797" w:left="1440" w:header="851" w:footer="992" w:gutter="0"/>
          <w:cols w:space="425" w:num="1"/>
          <w:docGrid w:type="linesAndChars" w:linePitch="312" w:charSpace="0"/>
        </w:sectPr>
      </w:pPr>
    </w:p>
    <w:p>
      <w:pPr>
        <w:spacing w:line="360" w:lineRule="auto"/>
        <w:ind w:firstLine="442" w:firstLineChars="200"/>
        <w:rPr>
          <w:b/>
          <w:bCs/>
          <w:sz w:val="22"/>
          <w:szCs w:val="22"/>
        </w:rPr>
      </w:pPr>
      <w:r>
        <w:rPr>
          <w:b/>
          <w:bCs/>
          <w:sz w:val="22"/>
          <w:szCs w:val="22"/>
        </w:rPr>
        <w:t xml:space="preserve">7.2 </w:t>
      </w:r>
      <w:r>
        <w:rPr>
          <w:rFonts w:hint="eastAsia"/>
          <w:b/>
          <w:bCs/>
          <w:sz w:val="22"/>
          <w:szCs w:val="22"/>
          <w:lang w:val="en-US" w:eastAsia="zh-CN"/>
        </w:rPr>
        <w:t>牧场清洗消毒</w:t>
      </w:r>
      <w:r>
        <w:rPr>
          <w:b/>
          <w:bCs/>
          <w:sz w:val="22"/>
          <w:szCs w:val="22"/>
        </w:rPr>
        <w:t>技术指标验证</w:t>
      </w:r>
    </w:p>
    <w:p>
      <w:pPr>
        <w:spacing w:line="360" w:lineRule="auto"/>
        <w:ind w:firstLine="480"/>
        <w:rPr>
          <w:szCs w:val="21"/>
        </w:rPr>
        <w:sectPr>
          <w:pgSz w:w="11906" w:h="16838"/>
          <w:pgMar w:top="1440" w:right="1797" w:bottom="1440" w:left="1797" w:header="851" w:footer="992" w:gutter="0"/>
          <w:cols w:space="425" w:num="1"/>
          <w:docGrid w:type="lines" w:linePitch="312" w:charSpace="0"/>
        </w:sectPr>
      </w:pPr>
      <w:r>
        <w:rPr>
          <w:rFonts w:hint="eastAsia"/>
          <w:szCs w:val="21"/>
        </w:rPr>
        <w:t>根据标准制定要求，标准起草组请上海市新东牧场、上海市星二牧场等单位进行了指标的验证，针对牧场容器设备的不同位点进行菌落总数测定，参照表2中菌落总数监控限值小于50 CFU/cm</w:t>
      </w:r>
      <w:r>
        <w:rPr>
          <w:rFonts w:hint="eastAsia"/>
          <w:szCs w:val="21"/>
          <w:vertAlign w:val="superscript"/>
        </w:rPr>
        <w:t>2</w:t>
      </w:r>
      <w:r>
        <w:rPr>
          <w:rFonts w:hint="eastAsia"/>
          <w:szCs w:val="21"/>
        </w:rPr>
        <w:t>进行各位点合格率判定的验证工作</w:t>
      </w:r>
      <w:r>
        <w:rPr>
          <w:rFonts w:hint="eastAsia"/>
          <w:szCs w:val="21"/>
          <w:lang w:eastAsia="zh-CN"/>
        </w:rPr>
        <w:t>，</w:t>
      </w:r>
      <w:r>
        <w:rPr>
          <w:rFonts w:hint="eastAsia"/>
          <w:szCs w:val="21"/>
          <w:lang w:val="en-US" w:eastAsia="zh-CN"/>
        </w:rPr>
        <w:t>结果</w:t>
      </w:r>
      <w:r>
        <w:rPr>
          <w:rFonts w:hint="eastAsia"/>
          <w:szCs w:val="21"/>
        </w:rPr>
        <w:t>详见下表4、表5。</w:t>
      </w:r>
    </w:p>
    <w:tbl>
      <w:tblPr>
        <w:tblStyle w:val="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1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01" w:hRule="atLeast"/>
        </w:trPr>
        <w:tc>
          <w:tcPr>
            <w:tcW w:w="13860" w:type="dxa"/>
            <w:tcBorders>
              <w:top w:val="nil"/>
              <w:left w:val="nil"/>
              <w:bottom w:val="nil"/>
              <w:right w:val="nil"/>
            </w:tcBorders>
            <w:vAlign w:val="center"/>
          </w:tcPr>
          <w:p>
            <w:pPr>
              <w:spacing w:line="360" w:lineRule="auto"/>
              <w:jc w:val="center"/>
              <w:rPr>
                <w:b/>
                <w:bCs/>
                <w:szCs w:val="21"/>
              </w:rPr>
            </w:pPr>
            <w:r>
              <w:rPr>
                <w:b/>
                <w:bCs/>
                <w:szCs w:val="21"/>
              </w:rPr>
              <w:t>表4  上海市新东牧场容器卫生涂抹细菌总数情况测定结果</w:t>
            </w:r>
          </w:p>
          <w:tbl>
            <w:tblPr>
              <w:tblStyle w:val="9"/>
              <w:tblW w:w="1389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01"/>
              <w:gridCol w:w="1920"/>
              <w:gridCol w:w="1048"/>
              <w:gridCol w:w="1554"/>
              <w:gridCol w:w="1503"/>
              <w:gridCol w:w="948"/>
              <w:gridCol w:w="1025"/>
              <w:gridCol w:w="1499"/>
              <w:gridCol w:w="1842"/>
              <w:gridCol w:w="115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trPr>
              <w:tc>
                <w:tcPr>
                  <w:tcW w:w="1401" w:type="dxa"/>
                  <w:vMerge w:val="restart"/>
                  <w:tcBorders>
                    <w:lef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设备名称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（点位</w:t>
                  </w:r>
                  <w:r>
                    <w:rPr>
                      <w:rFonts w:hint="eastAsia" w:ascii="Times New Roman" w:hAnsi="Times New Roman" w:eastAsia="宋体" w:cs="Times New Roman"/>
                      <w:color w:val="auto"/>
                      <w:sz w:val="20"/>
                      <w:szCs w:val="20"/>
                      <w:highlight w:val="none"/>
                      <w:lang w:val="en-US" w:eastAsia="zh-CN"/>
                    </w:rPr>
                    <w:t>/个</w:t>
                  </w:r>
                  <w:r>
                    <w:rPr>
                      <w:rFonts w:hint="default" w:ascii="Times New Roman" w:hAnsi="Times New Roman" w:eastAsia="宋体" w:cs="Times New Roman"/>
                      <w:color w:val="auto"/>
                      <w:sz w:val="20"/>
                      <w:szCs w:val="20"/>
                      <w:highlight w:val="none"/>
                    </w:rPr>
                    <w:t>）</w:t>
                  </w:r>
                </w:p>
              </w:tc>
              <w:tc>
                <w:tcPr>
                  <w:tcW w:w="1920" w:type="dxa"/>
                  <w:vMerge w:val="restart"/>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容器目测情况</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（好/不好）</w:t>
                  </w:r>
                </w:p>
              </w:tc>
              <w:tc>
                <w:tcPr>
                  <w:tcW w:w="6078" w:type="dxa"/>
                  <w:gridSpan w:val="5"/>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菌落总数（CFU/</w:t>
                  </w:r>
                  <w:r>
                    <w:rPr>
                      <w:rFonts w:hint="default" w:ascii="Times New Roman" w:hAnsi="Times New Roman" w:eastAsia="宋体" w:cs="Times New Roman"/>
                      <w:color w:val="auto"/>
                      <w:sz w:val="20"/>
                      <w:szCs w:val="20"/>
                      <w:highlight w:val="none"/>
                      <w:lang w:val="en-US" w:eastAsia="zh-CN"/>
                    </w:rPr>
                    <w:t>cm</w:t>
                  </w:r>
                  <w:r>
                    <w:rPr>
                      <w:rFonts w:hint="default" w:ascii="Times New Roman" w:hAnsi="Times New Roman" w:eastAsia="宋体" w:cs="Times New Roman"/>
                      <w:color w:val="auto"/>
                      <w:sz w:val="20"/>
                      <w:szCs w:val="20"/>
                      <w:highlight w:val="none"/>
                      <w:vertAlign w:val="superscript"/>
                      <w:lang w:val="en-US" w:eastAsia="zh-CN"/>
                    </w:rPr>
                    <w:t>2</w:t>
                  </w:r>
                  <w:r>
                    <w:rPr>
                      <w:rFonts w:hint="default" w:ascii="Times New Roman" w:hAnsi="Times New Roman" w:eastAsia="宋体" w:cs="Times New Roman"/>
                      <w:color w:val="auto"/>
                      <w:sz w:val="20"/>
                      <w:szCs w:val="20"/>
                      <w:highlight w:val="none"/>
                    </w:rPr>
                    <w:t>）</w:t>
                  </w:r>
                  <w:r>
                    <w:rPr>
                      <w:rFonts w:hint="eastAsia" w:cs="Times New Roman"/>
                      <w:color w:val="auto"/>
                      <w:sz w:val="20"/>
                      <w:szCs w:val="20"/>
                      <w:highlight w:val="none"/>
                      <w:lang w:eastAsia="zh-CN"/>
                    </w:rPr>
                    <w:t>（</w:t>
                  </w:r>
                  <w:r>
                    <w:rPr>
                      <w:rFonts w:hint="default" w:ascii="Times New Roman" w:hAnsi="Times New Roman" w:eastAsia="宋体" w:cs="Times New Roman"/>
                      <w:color w:val="auto"/>
                      <w:sz w:val="20"/>
                      <w:szCs w:val="20"/>
                      <w:highlight w:val="none"/>
                    </w:rPr>
                    <w:t>标准≤</w:t>
                  </w:r>
                  <w:r>
                    <w:rPr>
                      <w:rFonts w:hint="eastAsia" w:ascii="Times New Roman" w:hAnsi="Times New Roman" w:eastAsia="宋体" w:cs="Times New Roman"/>
                      <w:color w:val="auto"/>
                      <w:sz w:val="20"/>
                      <w:szCs w:val="20"/>
                      <w:highlight w:val="none"/>
                      <w:lang w:val="en-US" w:eastAsia="zh-CN"/>
                    </w:rPr>
                    <w:t>50</w:t>
                  </w:r>
                  <w:r>
                    <w:rPr>
                      <w:rFonts w:hint="default" w:ascii="Times New Roman" w:hAnsi="Times New Roman" w:eastAsia="宋体" w:cs="Times New Roman"/>
                      <w:color w:val="auto"/>
                      <w:sz w:val="20"/>
                      <w:szCs w:val="20"/>
                      <w:highlight w:val="none"/>
                    </w:rPr>
                    <w:t>为合格）</w:t>
                  </w:r>
                </w:p>
              </w:tc>
              <w:tc>
                <w:tcPr>
                  <w:tcW w:w="1499" w:type="dxa"/>
                  <w:vMerge w:val="restart"/>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细菌</w:t>
                  </w:r>
                  <w:r>
                    <w:rPr>
                      <w:rFonts w:hint="default" w:ascii="Times New Roman" w:hAnsi="Times New Roman" w:eastAsia="宋体" w:cs="Times New Roman"/>
                      <w:color w:val="auto"/>
                      <w:sz w:val="20"/>
                      <w:szCs w:val="20"/>
                      <w:highlight w:val="none"/>
                      <w:lang w:val="en-US" w:eastAsia="zh-CN"/>
                    </w:rPr>
                    <w:t>总</w:t>
                  </w:r>
                  <w:r>
                    <w:rPr>
                      <w:rFonts w:hint="default" w:ascii="Times New Roman" w:hAnsi="Times New Roman" w:eastAsia="宋体" w:cs="Times New Roman"/>
                      <w:color w:val="auto"/>
                      <w:sz w:val="20"/>
                      <w:szCs w:val="20"/>
                      <w:highlight w:val="none"/>
                    </w:rPr>
                    <w:t>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总次数</w:t>
                  </w:r>
                </w:p>
              </w:tc>
              <w:tc>
                <w:tcPr>
                  <w:tcW w:w="1842" w:type="dxa"/>
                  <w:vMerge w:val="restart"/>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细菌</w:t>
                  </w:r>
                  <w:r>
                    <w:rPr>
                      <w:rFonts w:hint="default" w:ascii="Times New Roman" w:hAnsi="Times New Roman" w:eastAsia="宋体" w:cs="Times New Roman"/>
                      <w:color w:val="auto"/>
                      <w:sz w:val="20"/>
                      <w:szCs w:val="20"/>
                      <w:highlight w:val="none"/>
                      <w:lang w:val="en-US" w:eastAsia="zh-CN"/>
                    </w:rPr>
                    <w:t>总</w:t>
                  </w:r>
                  <w:r>
                    <w:rPr>
                      <w:rFonts w:hint="default" w:ascii="Times New Roman" w:hAnsi="Times New Roman" w:eastAsia="宋体" w:cs="Times New Roman"/>
                      <w:color w:val="auto"/>
                      <w:sz w:val="20"/>
                      <w:szCs w:val="20"/>
                      <w:highlight w:val="none"/>
                    </w:rPr>
                    <w:t>数合格次数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w:t>
                  </w:r>
                  <w:r>
                    <w:rPr>
                      <w:rFonts w:hint="eastAsia" w:ascii="Times New Roman" w:hAnsi="Times New Roman" w:eastAsia="宋体" w:cs="Times New Roman"/>
                      <w:color w:val="auto"/>
                      <w:sz w:val="20"/>
                      <w:szCs w:val="20"/>
                      <w:highlight w:val="none"/>
                      <w:lang w:val="en-US" w:eastAsia="zh-CN"/>
                    </w:rPr>
                    <w:t>50</w:t>
                  </w:r>
                  <w:r>
                    <w:rPr>
                      <w:rFonts w:hint="default" w:ascii="Times New Roman" w:hAnsi="Times New Roman" w:eastAsia="宋体" w:cs="Times New Roman"/>
                      <w:color w:val="auto"/>
                      <w:sz w:val="20"/>
                      <w:szCs w:val="20"/>
                      <w:highlight w:val="none"/>
                    </w:rPr>
                    <w:t>）</w:t>
                  </w:r>
                </w:p>
              </w:tc>
              <w:tc>
                <w:tcPr>
                  <w:tcW w:w="1156" w:type="dxa"/>
                  <w:vMerge w:val="restart"/>
                  <w:vAlign w:val="center"/>
                </w:tcPr>
                <w:p>
                  <w:pPr>
                    <w:spacing w:line="360" w:lineRule="auto"/>
                    <w:jc w:val="center"/>
                    <w:rPr>
                      <w:rFonts w:hint="eastAsia" w:ascii="Times New Roman" w:hAnsi="Times New Roman" w:eastAsia="宋体" w:cs="Times New Roman"/>
                      <w:color w:val="auto"/>
                      <w:sz w:val="20"/>
                      <w:szCs w:val="20"/>
                      <w:highlight w:val="none"/>
                      <w:lang w:val="en-US" w:eastAsia="zh-CN"/>
                    </w:rPr>
                  </w:pPr>
                  <w:r>
                    <w:rPr>
                      <w:rFonts w:hint="eastAsia" w:ascii="Times New Roman" w:hAnsi="Times New Roman" w:eastAsia="宋体" w:cs="Times New Roman"/>
                      <w:color w:val="auto"/>
                      <w:sz w:val="20"/>
                      <w:szCs w:val="20"/>
                      <w:highlight w:val="none"/>
                      <w:lang w:val="en-US" w:eastAsia="zh-CN"/>
                    </w:rPr>
                    <w:t>合格率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trPr>
              <w:tc>
                <w:tcPr>
                  <w:tcW w:w="1401"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920"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048"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≤10</w:t>
                  </w:r>
                </w:p>
              </w:tc>
              <w:tc>
                <w:tcPr>
                  <w:tcW w:w="1554"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10&lt;n≤20</w:t>
                  </w:r>
                </w:p>
              </w:tc>
              <w:tc>
                <w:tcPr>
                  <w:tcW w:w="1503"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20&lt;n≤30</w:t>
                  </w:r>
                </w:p>
              </w:tc>
              <w:tc>
                <w:tcPr>
                  <w:tcW w:w="948"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eastAsia" w:ascii="Times New Roman" w:hAnsi="Times New Roman" w:eastAsia="宋体" w:cs="Times New Roman"/>
                      <w:color w:val="auto"/>
                      <w:sz w:val="20"/>
                      <w:szCs w:val="20"/>
                      <w:highlight w:val="none"/>
                      <w:lang w:val="en-US" w:eastAsia="zh-CN"/>
                    </w:rPr>
                    <w:t>3</w:t>
                  </w:r>
                  <w:r>
                    <w:rPr>
                      <w:rFonts w:hint="default" w:ascii="Times New Roman" w:hAnsi="Times New Roman" w:eastAsia="宋体" w:cs="Times New Roman"/>
                      <w:color w:val="auto"/>
                      <w:sz w:val="20"/>
                      <w:szCs w:val="20"/>
                      <w:highlight w:val="none"/>
                    </w:rPr>
                    <w:t>0&lt;n≤</w:t>
                  </w:r>
                  <w:r>
                    <w:rPr>
                      <w:rFonts w:hint="eastAsia" w:ascii="Times New Roman" w:hAnsi="Times New Roman" w:eastAsia="宋体" w:cs="Times New Roman"/>
                      <w:color w:val="auto"/>
                      <w:sz w:val="20"/>
                      <w:szCs w:val="20"/>
                      <w:highlight w:val="none"/>
                      <w:lang w:val="en-US" w:eastAsia="zh-CN"/>
                    </w:rPr>
                    <w:t>5</w:t>
                  </w:r>
                  <w:r>
                    <w:rPr>
                      <w:rFonts w:hint="default" w:ascii="Times New Roman" w:hAnsi="Times New Roman" w:eastAsia="宋体" w:cs="Times New Roman"/>
                      <w:color w:val="auto"/>
                      <w:sz w:val="20"/>
                      <w:szCs w:val="20"/>
                      <w:highlight w:val="none"/>
                    </w:rPr>
                    <w:t>0</w:t>
                  </w:r>
                </w:p>
              </w:tc>
              <w:tc>
                <w:tcPr>
                  <w:tcW w:w="1025" w:type="dxa"/>
                  <w:vAlign w:val="center"/>
                </w:tcPr>
                <w:p>
                  <w:pPr>
                    <w:spacing w:line="360" w:lineRule="auto"/>
                    <w:jc w:val="center"/>
                    <w:rPr>
                      <w:rFonts w:hint="default" w:ascii="Times New Roman" w:hAnsi="Times New Roman" w:eastAsia="宋体" w:cs="Times New Roman"/>
                      <w:color w:val="auto"/>
                      <w:sz w:val="20"/>
                      <w:szCs w:val="20"/>
                      <w:highlight w:val="none"/>
                      <w:lang w:val="en-US" w:eastAsia="zh-CN"/>
                    </w:rPr>
                  </w:pPr>
                  <w:r>
                    <w:rPr>
                      <w:rFonts w:hint="default" w:ascii="Times New Roman" w:hAnsi="Times New Roman" w:eastAsia="宋体" w:cs="Times New Roman"/>
                      <w:color w:val="auto"/>
                      <w:sz w:val="20"/>
                      <w:szCs w:val="20"/>
                      <w:highlight w:val="none"/>
                    </w:rPr>
                    <w:t>&gt;</w:t>
                  </w:r>
                  <w:r>
                    <w:rPr>
                      <w:rFonts w:hint="eastAsia" w:ascii="Times New Roman" w:hAnsi="Times New Roman" w:eastAsia="宋体" w:cs="Times New Roman"/>
                      <w:color w:val="auto"/>
                      <w:sz w:val="20"/>
                      <w:szCs w:val="20"/>
                      <w:highlight w:val="none"/>
                      <w:lang w:val="en-US" w:eastAsia="zh-CN"/>
                    </w:rPr>
                    <w:t>50</w:t>
                  </w:r>
                </w:p>
              </w:tc>
              <w:tc>
                <w:tcPr>
                  <w:tcW w:w="1499"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842"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156"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集乳罐</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170</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89</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51</w:t>
                  </w:r>
                </w:p>
              </w:tc>
              <w:tc>
                <w:tcPr>
                  <w:tcW w:w="948" w:type="dxa"/>
                  <w:vAlign w:val="center"/>
                </w:tcPr>
                <w:p>
                  <w:pPr>
                    <w:widowControl/>
                    <w:jc w:val="center"/>
                    <w:textAlignment w:val="center"/>
                    <w:rPr>
                      <w:rFonts w:hint="eastAsia" w:ascii="Times New Roman" w:hAnsi="Times New Roman" w:eastAsia="宋体" w:cs="Times New Roman"/>
                      <w:color w:val="auto"/>
                      <w:sz w:val="20"/>
                      <w:szCs w:val="20"/>
                      <w:highlight w:val="none"/>
                      <w:lang w:eastAsia="zh-CN"/>
                    </w:rPr>
                  </w:pPr>
                  <w:r>
                    <w:rPr>
                      <w:rFonts w:hint="eastAsia" w:cs="Times New Roman"/>
                      <w:color w:val="auto"/>
                      <w:kern w:val="0"/>
                      <w:sz w:val="20"/>
                      <w:szCs w:val="20"/>
                      <w:highlight w:val="none"/>
                      <w:lang w:val="en-US" w:eastAsia="zh-CN"/>
                    </w:rPr>
                    <w:t>2</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313</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312</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奶杯组</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178</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78</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47</w:t>
                  </w:r>
                </w:p>
              </w:tc>
              <w:tc>
                <w:tcPr>
                  <w:tcW w:w="948" w:type="dxa"/>
                  <w:vAlign w:val="center"/>
                </w:tcPr>
                <w:p>
                  <w:pPr>
                    <w:widowControl/>
                    <w:jc w:val="center"/>
                    <w:textAlignment w:val="center"/>
                    <w:rPr>
                      <w:rFonts w:hint="eastAsia" w:ascii="Times New Roman" w:hAnsi="Times New Roman" w:eastAsia="宋体" w:cs="Times New Roman"/>
                      <w:color w:val="auto"/>
                      <w:sz w:val="20"/>
                      <w:szCs w:val="20"/>
                      <w:highlight w:val="none"/>
                      <w:lang w:eastAsia="zh-CN"/>
                    </w:rPr>
                  </w:pPr>
                  <w:r>
                    <w:rPr>
                      <w:rFonts w:hint="eastAsia" w:cs="Times New Roman"/>
                      <w:color w:val="auto"/>
                      <w:kern w:val="0"/>
                      <w:sz w:val="20"/>
                      <w:szCs w:val="20"/>
                      <w:highlight w:val="none"/>
                      <w:lang w:val="en-US" w:eastAsia="zh-CN"/>
                    </w:rPr>
                    <w:t>6</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311</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309</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打奶管</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59</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57</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37</w:t>
                  </w:r>
                </w:p>
              </w:tc>
              <w:tc>
                <w:tcPr>
                  <w:tcW w:w="948" w:type="dxa"/>
                  <w:vAlign w:val="center"/>
                </w:tcPr>
                <w:p>
                  <w:pPr>
                    <w:widowControl/>
                    <w:jc w:val="center"/>
                    <w:textAlignment w:val="center"/>
                    <w:rPr>
                      <w:rFonts w:hint="eastAsia" w:ascii="Times New Roman" w:hAnsi="Times New Roman" w:eastAsia="宋体" w:cs="Times New Roman"/>
                      <w:color w:val="auto"/>
                      <w:sz w:val="20"/>
                      <w:szCs w:val="20"/>
                      <w:highlight w:val="none"/>
                      <w:lang w:eastAsia="zh-CN"/>
                    </w:rPr>
                  </w:pPr>
                  <w:r>
                    <w:rPr>
                      <w:rFonts w:hint="eastAsia" w:cs="Times New Roman"/>
                      <w:color w:val="auto"/>
                      <w:kern w:val="0"/>
                      <w:sz w:val="20"/>
                      <w:szCs w:val="20"/>
                      <w:highlight w:val="none"/>
                      <w:lang w:val="en-US" w:eastAsia="zh-CN"/>
                    </w:rPr>
                    <w:t>5</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160</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158</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98.8%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奶水分离器</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80</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130</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67</w:t>
                  </w:r>
                </w:p>
              </w:tc>
              <w:tc>
                <w:tcPr>
                  <w:tcW w:w="948" w:type="dxa"/>
                  <w:vAlign w:val="center"/>
                </w:tcPr>
                <w:p>
                  <w:pPr>
                    <w:widowControl/>
                    <w:jc w:val="center"/>
                    <w:textAlignment w:val="center"/>
                    <w:rPr>
                      <w:rFonts w:hint="default" w:ascii="Times New Roman" w:hAnsi="Times New Roman" w:eastAsia="宋体" w:cs="Times New Roman"/>
                      <w:color w:val="auto"/>
                      <w:sz w:val="20"/>
                      <w:szCs w:val="20"/>
                      <w:highlight w:val="none"/>
                      <w:lang w:val="en-US" w:eastAsia="zh-CN"/>
                    </w:rPr>
                  </w:pPr>
                  <w:r>
                    <w:rPr>
                      <w:rFonts w:hint="eastAsia" w:cs="Times New Roman"/>
                      <w:color w:val="auto"/>
                      <w:kern w:val="0"/>
                      <w:sz w:val="20"/>
                      <w:szCs w:val="20"/>
                      <w:highlight w:val="none"/>
                      <w:lang w:val="en-US" w:eastAsia="zh-CN"/>
                    </w:rPr>
                    <w:t>18</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5</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300</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295</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98.3%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缸口</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80</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27</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12</w:t>
                  </w:r>
                </w:p>
              </w:tc>
              <w:tc>
                <w:tcPr>
                  <w:tcW w:w="9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120</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120</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奶泵</w:t>
                  </w:r>
                </w:p>
              </w:tc>
              <w:tc>
                <w:tcPr>
                  <w:tcW w:w="1920" w:type="dxa"/>
                  <w:vAlign w:val="center"/>
                </w:tcPr>
                <w:p>
                  <w:pPr>
                    <w:widowControl/>
                    <w:jc w:val="center"/>
                    <w:textAlignment w:val="bottom"/>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7</w:t>
                  </w:r>
                </w:p>
              </w:tc>
              <w:tc>
                <w:tcPr>
                  <w:tcW w:w="1554"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0</w:t>
                  </w:r>
                </w:p>
              </w:tc>
              <w:tc>
                <w:tcPr>
                  <w:tcW w:w="1503"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0</w:t>
                  </w:r>
                </w:p>
              </w:tc>
              <w:tc>
                <w:tcPr>
                  <w:tcW w:w="948"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0</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w:t>
                  </w:r>
                </w:p>
              </w:tc>
              <w:tc>
                <w:tcPr>
                  <w:tcW w:w="1499"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7</w:t>
                  </w:r>
                </w:p>
              </w:tc>
              <w:tc>
                <w:tcPr>
                  <w:tcW w:w="184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7</w:t>
                  </w:r>
                </w:p>
              </w:tc>
              <w:tc>
                <w:tcPr>
                  <w:tcW w:w="115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eastAsia" w:cs="Times New Roman"/>
                      <w:color w:val="auto"/>
                      <w:kern w:val="0"/>
                      <w:sz w:val="20"/>
                      <w:szCs w:val="20"/>
                      <w:highlight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4" w:hRule="atLeast"/>
              </w:trPr>
              <w:tc>
                <w:tcPr>
                  <w:tcW w:w="1401"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奶杯座</w:t>
                  </w:r>
                </w:p>
              </w:tc>
              <w:tc>
                <w:tcPr>
                  <w:tcW w:w="1920"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好</w:t>
                  </w:r>
                </w:p>
              </w:tc>
              <w:tc>
                <w:tcPr>
                  <w:tcW w:w="1048"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1</w:t>
                  </w:r>
                </w:p>
              </w:tc>
              <w:tc>
                <w:tcPr>
                  <w:tcW w:w="1554"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0</w:t>
                  </w:r>
                </w:p>
              </w:tc>
              <w:tc>
                <w:tcPr>
                  <w:tcW w:w="15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0</w:t>
                  </w:r>
                </w:p>
              </w:tc>
              <w:tc>
                <w:tcPr>
                  <w:tcW w:w="948"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0</w:t>
                  </w:r>
                </w:p>
              </w:tc>
              <w:tc>
                <w:tcPr>
                  <w:tcW w:w="1025"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w:t>
                  </w:r>
                </w:p>
              </w:tc>
              <w:tc>
                <w:tcPr>
                  <w:tcW w:w="149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1</w:t>
                  </w:r>
                </w:p>
              </w:tc>
              <w:tc>
                <w:tcPr>
                  <w:tcW w:w="184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w:t>
                  </w:r>
                </w:p>
              </w:tc>
              <w:tc>
                <w:tcPr>
                  <w:tcW w:w="115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eastAsia" w:cs="Times New Roman"/>
                      <w:color w:val="auto"/>
                      <w:kern w:val="0"/>
                      <w:sz w:val="20"/>
                      <w:szCs w:val="20"/>
                      <w:highlight w:val="none"/>
                      <w:lang w:val="en-US" w:eastAsia="zh-CN"/>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atLeast"/>
              </w:trPr>
              <w:tc>
                <w:tcPr>
                  <w:tcW w:w="1401" w:type="dxa"/>
                  <w:vAlign w:val="center"/>
                </w:tcPr>
                <w:p>
                  <w:pPr>
                    <w:widowControl/>
                    <w:jc w:val="center"/>
                    <w:textAlignment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kern w:val="0"/>
                      <w:sz w:val="20"/>
                      <w:szCs w:val="20"/>
                      <w:highlight w:val="none"/>
                    </w:rPr>
                    <w:t>总计</w:t>
                  </w:r>
                </w:p>
              </w:tc>
              <w:tc>
                <w:tcPr>
                  <w:tcW w:w="1920" w:type="dxa"/>
                  <w:vAlign w:val="center"/>
                </w:tcPr>
                <w:p>
                  <w:pPr>
                    <w:jc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sz w:val="20"/>
                      <w:szCs w:val="20"/>
                      <w:highlight w:val="none"/>
                    </w:rPr>
                    <w:t>/</w:t>
                  </w:r>
                </w:p>
              </w:tc>
              <w:tc>
                <w:tcPr>
                  <w:tcW w:w="1048"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575</w:t>
                  </w:r>
                </w:p>
              </w:tc>
              <w:tc>
                <w:tcPr>
                  <w:tcW w:w="1554"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381</w:t>
                  </w:r>
                </w:p>
              </w:tc>
              <w:tc>
                <w:tcPr>
                  <w:tcW w:w="15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214</w:t>
                  </w:r>
                </w:p>
              </w:tc>
              <w:tc>
                <w:tcPr>
                  <w:tcW w:w="948"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eastAsia" w:cs="Times New Roman"/>
                      <w:color w:val="auto"/>
                      <w:kern w:val="0"/>
                      <w:sz w:val="20"/>
                      <w:szCs w:val="20"/>
                      <w:highlight w:val="none"/>
                      <w:lang w:val="en-US" w:eastAsia="zh-CN"/>
                    </w:rPr>
                    <w:t>32</w:t>
                  </w:r>
                </w:p>
              </w:tc>
              <w:tc>
                <w:tcPr>
                  <w:tcW w:w="1025"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10</w:t>
                  </w:r>
                </w:p>
              </w:tc>
              <w:tc>
                <w:tcPr>
                  <w:tcW w:w="149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1212</w:t>
                  </w:r>
                </w:p>
              </w:tc>
              <w:tc>
                <w:tcPr>
                  <w:tcW w:w="1842"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1202</w:t>
                  </w:r>
                </w:p>
              </w:tc>
              <w:tc>
                <w:tcPr>
                  <w:tcW w:w="1156"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3" w:hRule="atLeast"/>
              </w:trPr>
              <w:tc>
                <w:tcPr>
                  <w:tcW w:w="1401"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占比情况</w:t>
                  </w:r>
                </w:p>
              </w:tc>
              <w:tc>
                <w:tcPr>
                  <w:tcW w:w="1920" w:type="dxa"/>
                  <w:vAlign w:val="center"/>
                </w:tcPr>
                <w:p>
                  <w:pPr>
                    <w:jc w:val="center"/>
                    <w:rPr>
                      <w:rFonts w:hint="default" w:ascii="Times New Roman" w:hAnsi="Times New Roman" w:cs="Times New Roman"/>
                      <w:color w:val="auto"/>
                      <w:sz w:val="20"/>
                      <w:szCs w:val="20"/>
                      <w:highlight w:val="none"/>
                    </w:rPr>
                  </w:pPr>
                  <w:r>
                    <w:rPr>
                      <w:rFonts w:hint="default" w:ascii="Times New Roman" w:hAnsi="Times New Roman" w:cs="Times New Roman"/>
                      <w:color w:val="auto"/>
                      <w:sz w:val="20"/>
                      <w:szCs w:val="20"/>
                      <w:highlight w:val="none"/>
                    </w:rPr>
                    <w:t>/</w:t>
                  </w:r>
                </w:p>
              </w:tc>
              <w:tc>
                <w:tcPr>
                  <w:tcW w:w="1048"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47.4%</w:t>
                  </w:r>
                </w:p>
              </w:tc>
              <w:tc>
                <w:tcPr>
                  <w:tcW w:w="1554"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31.4%</w:t>
                  </w:r>
                </w:p>
              </w:tc>
              <w:tc>
                <w:tcPr>
                  <w:tcW w:w="1503"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17.7%</w:t>
                  </w:r>
                </w:p>
              </w:tc>
              <w:tc>
                <w:tcPr>
                  <w:tcW w:w="948"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2.6%</w:t>
                  </w:r>
                </w:p>
              </w:tc>
              <w:tc>
                <w:tcPr>
                  <w:tcW w:w="1025" w:type="dxa"/>
                  <w:vAlign w:val="center"/>
                </w:tcPr>
                <w:p>
                  <w:pPr>
                    <w:widowControl/>
                    <w:jc w:val="center"/>
                    <w:textAlignment w:val="center"/>
                    <w:rPr>
                      <w:rFonts w:hint="default"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0.8%</w:t>
                  </w:r>
                </w:p>
              </w:tc>
              <w:tc>
                <w:tcPr>
                  <w:tcW w:w="1499"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w:t>
                  </w:r>
                </w:p>
              </w:tc>
              <w:tc>
                <w:tcPr>
                  <w:tcW w:w="1842"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w:t>
                  </w:r>
                </w:p>
              </w:tc>
              <w:tc>
                <w:tcPr>
                  <w:tcW w:w="1156"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w:t>
                  </w:r>
                </w:p>
              </w:tc>
            </w:tr>
          </w:tbl>
          <w:p>
            <w:pPr>
              <w:spacing w:line="360" w:lineRule="auto"/>
              <w:jc w:val="center"/>
              <w:rPr>
                <w:b/>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7" w:hRule="atLeast"/>
        </w:trPr>
        <w:tc>
          <w:tcPr>
            <w:tcW w:w="13860" w:type="dxa"/>
            <w:tcBorders>
              <w:top w:val="nil"/>
              <w:left w:val="nil"/>
              <w:bottom w:val="nil"/>
              <w:right w:val="nil"/>
            </w:tcBorders>
            <w:vAlign w:val="center"/>
          </w:tcPr>
          <w:p>
            <w:pPr>
              <w:spacing w:line="360" w:lineRule="auto"/>
              <w:jc w:val="both"/>
              <w:rPr>
                <w:b/>
                <w:bCs/>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77" w:hRule="atLeast"/>
        </w:trPr>
        <w:tc>
          <w:tcPr>
            <w:tcW w:w="13860" w:type="dxa"/>
            <w:tcBorders>
              <w:top w:val="nil"/>
              <w:left w:val="nil"/>
              <w:bottom w:val="nil"/>
              <w:right w:val="nil"/>
            </w:tcBorders>
            <w:vAlign w:val="center"/>
          </w:tcPr>
          <w:p>
            <w:pPr>
              <w:spacing w:line="360" w:lineRule="auto"/>
              <w:jc w:val="center"/>
              <w:rPr>
                <w:b/>
                <w:bCs/>
                <w:szCs w:val="21"/>
              </w:rPr>
            </w:pPr>
            <w:r>
              <w:rPr>
                <w:b/>
                <w:bCs/>
                <w:szCs w:val="21"/>
              </w:rPr>
              <w:t>表5  上海市星二牧场容器卫生涂抹细菌总数情况测定结果</w:t>
            </w:r>
          </w:p>
          <w:tbl>
            <w:tblPr>
              <w:tblStyle w:val="9"/>
              <w:tblW w:w="137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03"/>
              <w:gridCol w:w="1639"/>
              <w:gridCol w:w="900"/>
              <w:gridCol w:w="1566"/>
              <w:gridCol w:w="1566"/>
              <w:gridCol w:w="1263"/>
              <w:gridCol w:w="1052"/>
              <w:gridCol w:w="1496"/>
              <w:gridCol w:w="1950"/>
              <w:gridCol w:w="12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0" w:hRule="atLeast"/>
              </w:trPr>
              <w:tc>
                <w:tcPr>
                  <w:tcW w:w="1103" w:type="dxa"/>
                  <w:vMerge w:val="restart"/>
                  <w:tcBorders>
                    <w:lef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设备名称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（点位</w:t>
                  </w:r>
                  <w:r>
                    <w:rPr>
                      <w:rFonts w:hint="eastAsia" w:ascii="Times New Roman" w:hAnsi="Times New Roman" w:cs="Times New Roman"/>
                      <w:color w:val="auto"/>
                      <w:sz w:val="20"/>
                      <w:szCs w:val="20"/>
                      <w:highlight w:val="none"/>
                      <w:lang w:val="en-US" w:eastAsia="zh-CN"/>
                    </w:rPr>
                    <w:t>/个</w:t>
                  </w:r>
                  <w:r>
                    <w:rPr>
                      <w:rFonts w:hint="default" w:ascii="Times New Roman" w:hAnsi="Times New Roman" w:eastAsia="宋体" w:cs="Times New Roman"/>
                      <w:color w:val="auto"/>
                      <w:sz w:val="20"/>
                      <w:szCs w:val="20"/>
                      <w:highlight w:val="none"/>
                    </w:rPr>
                    <w:t>）</w:t>
                  </w:r>
                </w:p>
              </w:tc>
              <w:tc>
                <w:tcPr>
                  <w:tcW w:w="1639" w:type="dxa"/>
                  <w:vMerge w:val="restart"/>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容器目测情况</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（好/不好）</w:t>
                  </w:r>
                </w:p>
              </w:tc>
              <w:tc>
                <w:tcPr>
                  <w:tcW w:w="5295" w:type="dxa"/>
                  <w:gridSpan w:val="4"/>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菌落总数（CFU/</w:t>
                  </w:r>
                  <w:r>
                    <w:rPr>
                      <w:rFonts w:hint="default" w:ascii="Times New Roman" w:hAnsi="Times New Roman" w:eastAsia="宋体" w:cs="Times New Roman"/>
                      <w:color w:val="auto"/>
                      <w:sz w:val="20"/>
                      <w:szCs w:val="20"/>
                      <w:highlight w:val="none"/>
                      <w:lang w:val="en-US" w:eastAsia="zh-CN"/>
                    </w:rPr>
                    <w:t>cm</w:t>
                  </w:r>
                  <w:r>
                    <w:rPr>
                      <w:rFonts w:hint="default" w:ascii="Times New Roman" w:hAnsi="Times New Roman" w:eastAsia="宋体" w:cs="Times New Roman"/>
                      <w:color w:val="auto"/>
                      <w:sz w:val="20"/>
                      <w:szCs w:val="20"/>
                      <w:highlight w:val="none"/>
                      <w:vertAlign w:val="superscript"/>
                      <w:lang w:val="en-US" w:eastAsia="zh-CN"/>
                    </w:rPr>
                    <w:t>2</w:t>
                  </w:r>
                  <w:r>
                    <w:rPr>
                      <w:rFonts w:hint="default" w:ascii="Times New Roman" w:hAnsi="Times New Roman" w:eastAsia="宋体" w:cs="Times New Roman"/>
                      <w:color w:val="auto"/>
                      <w:sz w:val="20"/>
                      <w:szCs w:val="20"/>
                      <w:highlight w:val="none"/>
                    </w:rPr>
                    <w:t>）</w:t>
                  </w:r>
                  <w:r>
                    <w:rPr>
                      <w:rFonts w:hint="eastAsia" w:ascii="Times New Roman" w:hAnsi="Times New Roman" w:eastAsia="宋体" w:cs="Times New Roman"/>
                      <w:color w:val="auto"/>
                      <w:sz w:val="20"/>
                      <w:szCs w:val="20"/>
                      <w:highlight w:val="none"/>
                      <w:lang w:eastAsia="zh-CN"/>
                    </w:rPr>
                    <w:t>（</w:t>
                  </w:r>
                  <w:r>
                    <w:rPr>
                      <w:rFonts w:hint="default" w:ascii="Times New Roman" w:hAnsi="Times New Roman" w:eastAsia="宋体" w:cs="Times New Roman"/>
                      <w:color w:val="auto"/>
                      <w:sz w:val="20"/>
                      <w:szCs w:val="20"/>
                      <w:highlight w:val="none"/>
                    </w:rPr>
                    <w:t>标准≤</w:t>
                  </w:r>
                  <w:r>
                    <w:rPr>
                      <w:rFonts w:hint="eastAsia" w:ascii="Times New Roman" w:hAnsi="Times New Roman" w:eastAsia="宋体" w:cs="Times New Roman"/>
                      <w:color w:val="auto"/>
                      <w:sz w:val="20"/>
                      <w:szCs w:val="20"/>
                      <w:highlight w:val="none"/>
                      <w:lang w:val="en-US" w:eastAsia="zh-CN"/>
                    </w:rPr>
                    <w:t>50</w:t>
                  </w:r>
                  <w:r>
                    <w:rPr>
                      <w:rFonts w:hint="default" w:ascii="Times New Roman" w:hAnsi="Times New Roman" w:eastAsia="宋体" w:cs="Times New Roman"/>
                      <w:color w:val="auto"/>
                      <w:sz w:val="20"/>
                      <w:szCs w:val="20"/>
                      <w:highlight w:val="none"/>
                    </w:rPr>
                    <w:t>为合格）</w:t>
                  </w:r>
                </w:p>
              </w:tc>
              <w:tc>
                <w:tcPr>
                  <w:tcW w:w="1052" w:type="dxa"/>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496" w:type="dxa"/>
                  <w:vMerge w:val="restart"/>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细菌</w:t>
                  </w:r>
                  <w:r>
                    <w:rPr>
                      <w:rFonts w:hint="default" w:ascii="Times New Roman" w:hAnsi="Times New Roman" w:eastAsia="宋体" w:cs="Times New Roman"/>
                      <w:color w:val="auto"/>
                      <w:sz w:val="20"/>
                      <w:szCs w:val="20"/>
                      <w:highlight w:val="none"/>
                      <w:lang w:val="en-US" w:eastAsia="zh-CN"/>
                    </w:rPr>
                    <w:t>总</w:t>
                  </w:r>
                  <w:r>
                    <w:rPr>
                      <w:rFonts w:hint="default" w:ascii="Times New Roman" w:hAnsi="Times New Roman" w:eastAsia="宋体" w:cs="Times New Roman"/>
                      <w:color w:val="auto"/>
                      <w:sz w:val="20"/>
                      <w:szCs w:val="20"/>
                      <w:highlight w:val="none"/>
                    </w:rPr>
                    <w:t>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总次数</w:t>
                  </w:r>
                </w:p>
              </w:tc>
              <w:tc>
                <w:tcPr>
                  <w:tcW w:w="1950" w:type="dxa"/>
                  <w:vMerge w:val="restart"/>
                  <w:tcBorders>
                    <w:righ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细菌</w:t>
                  </w:r>
                  <w:r>
                    <w:rPr>
                      <w:rFonts w:hint="default" w:ascii="Times New Roman" w:hAnsi="Times New Roman" w:eastAsia="宋体" w:cs="Times New Roman"/>
                      <w:color w:val="auto"/>
                      <w:sz w:val="20"/>
                      <w:szCs w:val="20"/>
                      <w:highlight w:val="none"/>
                      <w:lang w:val="en-US" w:eastAsia="zh-CN"/>
                    </w:rPr>
                    <w:t>总</w:t>
                  </w:r>
                  <w:r>
                    <w:rPr>
                      <w:rFonts w:hint="default" w:ascii="Times New Roman" w:hAnsi="Times New Roman" w:eastAsia="宋体" w:cs="Times New Roman"/>
                      <w:color w:val="auto"/>
                      <w:sz w:val="20"/>
                      <w:szCs w:val="20"/>
                      <w:highlight w:val="none"/>
                    </w:rPr>
                    <w:t>数合格次数</w:t>
                  </w:r>
                </w:p>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w:t>
                  </w:r>
                  <w:r>
                    <w:rPr>
                      <w:rFonts w:hint="eastAsia" w:cs="Times New Roman"/>
                      <w:color w:val="auto"/>
                      <w:sz w:val="20"/>
                      <w:szCs w:val="20"/>
                      <w:highlight w:val="none"/>
                      <w:lang w:val="en-US" w:eastAsia="zh-CN"/>
                    </w:rPr>
                    <w:t>5</w:t>
                  </w:r>
                  <w:r>
                    <w:rPr>
                      <w:rFonts w:hint="default" w:ascii="Times New Roman" w:hAnsi="Times New Roman" w:eastAsia="宋体" w:cs="Times New Roman"/>
                      <w:color w:val="auto"/>
                      <w:sz w:val="20"/>
                      <w:szCs w:val="20"/>
                      <w:highlight w:val="none"/>
                    </w:rPr>
                    <w:t>0）</w:t>
                  </w:r>
                </w:p>
              </w:tc>
              <w:tc>
                <w:tcPr>
                  <w:tcW w:w="1200" w:type="dxa"/>
                  <w:vMerge w:val="restart"/>
                  <w:tcBorders>
                    <w:righ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合格率</w:t>
                  </w:r>
                </w:p>
                <w:p>
                  <w:pPr>
                    <w:widowControl/>
                    <w:jc w:val="center"/>
                    <w:textAlignment w:val="center"/>
                    <w:rPr>
                      <w:rFonts w:hint="default" w:ascii="Times New Roman" w:hAnsi="Times New Roman" w:eastAsia="宋体" w:cs="Times New Roman"/>
                      <w:color w:val="auto"/>
                      <w:sz w:val="20"/>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9" w:hRule="atLeast"/>
              </w:trPr>
              <w:tc>
                <w:tcPr>
                  <w:tcW w:w="1103" w:type="dxa"/>
                  <w:vMerge w:val="continue"/>
                  <w:tcBorders>
                    <w:lef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639"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900"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≤10</w:t>
                  </w:r>
                </w:p>
              </w:tc>
              <w:tc>
                <w:tcPr>
                  <w:tcW w:w="1566"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10&lt;n≤20</w:t>
                  </w:r>
                </w:p>
              </w:tc>
              <w:tc>
                <w:tcPr>
                  <w:tcW w:w="1566"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20&lt;n≤30</w:t>
                  </w:r>
                </w:p>
              </w:tc>
              <w:tc>
                <w:tcPr>
                  <w:tcW w:w="1263"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eastAsia" w:cs="Times New Roman"/>
                      <w:color w:val="auto"/>
                      <w:sz w:val="20"/>
                      <w:szCs w:val="20"/>
                      <w:highlight w:val="none"/>
                      <w:lang w:val="en-US" w:eastAsia="zh-CN"/>
                    </w:rPr>
                    <w:t>3</w:t>
                  </w:r>
                  <w:r>
                    <w:rPr>
                      <w:rFonts w:hint="default" w:ascii="Times New Roman" w:hAnsi="Times New Roman" w:eastAsia="宋体" w:cs="Times New Roman"/>
                      <w:color w:val="auto"/>
                      <w:sz w:val="20"/>
                      <w:szCs w:val="20"/>
                      <w:highlight w:val="none"/>
                    </w:rPr>
                    <w:t>0&lt;n≤</w:t>
                  </w:r>
                  <w:r>
                    <w:rPr>
                      <w:rFonts w:hint="eastAsia" w:cs="Times New Roman"/>
                      <w:color w:val="auto"/>
                      <w:sz w:val="20"/>
                      <w:szCs w:val="20"/>
                      <w:highlight w:val="none"/>
                      <w:lang w:val="en-US" w:eastAsia="zh-CN"/>
                    </w:rPr>
                    <w:t>5</w:t>
                  </w:r>
                  <w:r>
                    <w:rPr>
                      <w:rFonts w:hint="default" w:ascii="Times New Roman" w:hAnsi="Times New Roman" w:eastAsia="宋体" w:cs="Times New Roman"/>
                      <w:color w:val="auto"/>
                      <w:sz w:val="20"/>
                      <w:szCs w:val="20"/>
                      <w:highlight w:val="none"/>
                    </w:rPr>
                    <w:t>0</w:t>
                  </w:r>
                </w:p>
              </w:tc>
              <w:tc>
                <w:tcPr>
                  <w:tcW w:w="1052" w:type="dxa"/>
                  <w:vAlign w:val="center"/>
                </w:tcPr>
                <w:p>
                  <w:pPr>
                    <w:spacing w:line="360" w:lineRule="auto"/>
                    <w:jc w:val="center"/>
                    <w:rPr>
                      <w:rFonts w:hint="default" w:ascii="Times New Roman" w:hAnsi="Times New Roman" w:eastAsia="宋体" w:cs="Times New Roman"/>
                      <w:color w:val="auto"/>
                      <w:sz w:val="20"/>
                      <w:szCs w:val="20"/>
                      <w:highlight w:val="none"/>
                    </w:rPr>
                  </w:pPr>
                  <w:r>
                    <w:rPr>
                      <w:rFonts w:hint="default" w:ascii="Times New Roman" w:hAnsi="Times New Roman" w:eastAsia="宋体" w:cs="Times New Roman"/>
                      <w:color w:val="auto"/>
                      <w:sz w:val="20"/>
                      <w:szCs w:val="20"/>
                      <w:highlight w:val="none"/>
                    </w:rPr>
                    <w:t>&gt;</w:t>
                  </w:r>
                  <w:r>
                    <w:rPr>
                      <w:rFonts w:hint="eastAsia" w:cs="Times New Roman"/>
                      <w:color w:val="auto"/>
                      <w:sz w:val="20"/>
                      <w:szCs w:val="20"/>
                      <w:highlight w:val="none"/>
                      <w:lang w:val="en-US" w:eastAsia="zh-CN"/>
                    </w:rPr>
                    <w:t>50</w:t>
                  </w:r>
                </w:p>
              </w:tc>
              <w:tc>
                <w:tcPr>
                  <w:tcW w:w="1496" w:type="dxa"/>
                  <w:vMerge w:val="continue"/>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950" w:type="dxa"/>
                  <w:vMerge w:val="continue"/>
                  <w:tcBorders>
                    <w:right w:val="single" w:color="auto" w:sz="4" w:space="0"/>
                  </w:tcBorders>
                  <w:vAlign w:val="center"/>
                </w:tcPr>
                <w:p>
                  <w:pPr>
                    <w:spacing w:line="360" w:lineRule="auto"/>
                    <w:jc w:val="center"/>
                    <w:rPr>
                      <w:rFonts w:hint="default" w:ascii="Times New Roman" w:hAnsi="Times New Roman" w:eastAsia="宋体" w:cs="Times New Roman"/>
                      <w:color w:val="auto"/>
                      <w:sz w:val="20"/>
                      <w:szCs w:val="20"/>
                      <w:highlight w:val="none"/>
                    </w:rPr>
                  </w:pPr>
                </w:p>
              </w:tc>
              <w:tc>
                <w:tcPr>
                  <w:tcW w:w="1200" w:type="dxa"/>
                  <w:vMerge w:val="continue"/>
                  <w:tcBorders>
                    <w:right w:val="single" w:color="auto" w:sz="4" w:space="0"/>
                  </w:tcBorders>
                  <w:vAlign w:val="center"/>
                </w:tcPr>
                <w:p>
                  <w:pPr>
                    <w:widowControl/>
                    <w:jc w:val="center"/>
                    <w:textAlignment w:val="center"/>
                    <w:rPr>
                      <w:rFonts w:hint="default" w:ascii="Times New Roman" w:hAnsi="Times New Roman" w:eastAsia="宋体" w:cs="Times New Roman"/>
                      <w:color w:val="auto"/>
                      <w:sz w:val="20"/>
                      <w:szCs w:val="20"/>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缸内壁</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好</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183</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4</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3</w:t>
                  </w:r>
                </w:p>
              </w:tc>
              <w:tc>
                <w:tcPr>
                  <w:tcW w:w="1263"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eastAsia="zh-CN"/>
                    </w:rPr>
                  </w:pPr>
                  <w:r>
                    <w:rPr>
                      <w:rFonts w:hint="eastAsia" w:cs="Times New Roman"/>
                      <w:color w:val="auto"/>
                      <w:kern w:val="0"/>
                      <w:sz w:val="20"/>
                      <w:szCs w:val="20"/>
                      <w:highlight w:val="none"/>
                      <w:lang w:val="en-US" w:eastAsia="zh-CN"/>
                    </w:rPr>
                    <w:t>2</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193</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192</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19"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缸考口</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好</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178</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16</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8</w:t>
                  </w:r>
                </w:p>
              </w:tc>
              <w:tc>
                <w:tcPr>
                  <w:tcW w:w="1263"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eastAsia="zh-CN"/>
                    </w:rPr>
                  </w:pPr>
                  <w:r>
                    <w:rPr>
                      <w:rFonts w:hint="eastAsia" w:cs="Times New Roman"/>
                      <w:color w:val="auto"/>
                      <w:kern w:val="0"/>
                      <w:sz w:val="20"/>
                      <w:szCs w:val="20"/>
                      <w:highlight w:val="none"/>
                      <w:lang w:val="en-US" w:eastAsia="zh-CN"/>
                    </w:rPr>
                    <w:t>5</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3</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210</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207</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98.6%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奶泵进口</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好</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40</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0</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0</w:t>
                  </w:r>
                </w:p>
              </w:tc>
              <w:tc>
                <w:tcPr>
                  <w:tcW w:w="126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0</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40</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40</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奶衬</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好</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204</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3</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0</w:t>
                  </w:r>
                </w:p>
              </w:tc>
              <w:tc>
                <w:tcPr>
                  <w:tcW w:w="126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0</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207</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207</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8"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暂存缸</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好</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106</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26</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19</w:t>
                  </w:r>
                </w:p>
              </w:tc>
              <w:tc>
                <w:tcPr>
                  <w:tcW w:w="1263"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eastAsia="zh-CN"/>
                    </w:rPr>
                  </w:pPr>
                  <w:r>
                    <w:rPr>
                      <w:rFonts w:hint="eastAsia" w:cs="Times New Roman"/>
                      <w:color w:val="auto"/>
                      <w:kern w:val="0"/>
                      <w:sz w:val="20"/>
                      <w:szCs w:val="20"/>
                      <w:highlight w:val="none"/>
                      <w:lang w:val="en-US" w:eastAsia="zh-CN"/>
                    </w:rPr>
                    <w:t>1</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153</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152</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1103"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总计</w:t>
                  </w:r>
                </w:p>
              </w:tc>
              <w:tc>
                <w:tcPr>
                  <w:tcW w:w="1639"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sz w:val="20"/>
                      <w:szCs w:val="20"/>
                      <w:highlight w:val="none"/>
                    </w:rPr>
                    <w:t>/</w:t>
                  </w:r>
                </w:p>
              </w:tc>
              <w:tc>
                <w:tcPr>
                  <w:tcW w:w="900"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711</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49</w:t>
                  </w:r>
                </w:p>
              </w:tc>
              <w:tc>
                <w:tcPr>
                  <w:tcW w:w="1566" w:type="dxa"/>
                  <w:vAlign w:val="center"/>
                </w:tcPr>
                <w:p>
                  <w:pPr>
                    <w:widowControl/>
                    <w:jc w:val="center"/>
                    <w:textAlignment w:val="center"/>
                    <w:rPr>
                      <w:rFonts w:hint="default" w:ascii="Times New Roman" w:hAnsi="Times New Roman" w:cs="Times New Roman"/>
                      <w:color w:val="auto"/>
                      <w:kern w:val="0"/>
                      <w:sz w:val="20"/>
                      <w:szCs w:val="20"/>
                      <w:highlight w:val="none"/>
                    </w:rPr>
                  </w:pPr>
                  <w:r>
                    <w:rPr>
                      <w:kern w:val="0"/>
                      <w:sz w:val="20"/>
                      <w:szCs w:val="20"/>
                      <w:highlight w:val="none"/>
                    </w:rPr>
                    <w:t>30</w:t>
                  </w:r>
                </w:p>
              </w:tc>
              <w:tc>
                <w:tcPr>
                  <w:tcW w:w="1263"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eastAsia="zh-CN"/>
                    </w:rPr>
                  </w:pPr>
                  <w:r>
                    <w:rPr>
                      <w:rFonts w:hint="eastAsia" w:cs="Times New Roman"/>
                      <w:color w:val="auto"/>
                      <w:kern w:val="0"/>
                      <w:sz w:val="20"/>
                      <w:szCs w:val="20"/>
                      <w:highlight w:val="none"/>
                      <w:lang w:val="en-US" w:eastAsia="zh-CN"/>
                    </w:rPr>
                    <w:t>8</w:t>
                  </w:r>
                </w:p>
              </w:tc>
              <w:tc>
                <w:tcPr>
                  <w:tcW w:w="1052" w:type="dxa"/>
                  <w:vAlign w:val="center"/>
                </w:tcPr>
                <w:p>
                  <w:pPr>
                    <w:widowControl/>
                    <w:jc w:val="center"/>
                    <w:textAlignment w:val="center"/>
                    <w:rPr>
                      <w:rFonts w:hint="eastAsia"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5</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kern w:val="0"/>
                      <w:sz w:val="20"/>
                      <w:szCs w:val="20"/>
                      <w:highlight w:val="none"/>
                    </w:rPr>
                    <w:t>803</w:t>
                  </w:r>
                </w:p>
              </w:tc>
              <w:tc>
                <w:tcPr>
                  <w:tcW w:w="1950"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798</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99.4%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9" w:hRule="atLeast"/>
              </w:trPr>
              <w:tc>
                <w:tcPr>
                  <w:tcW w:w="1103" w:type="dxa"/>
                  <w:vAlign w:val="center"/>
                </w:tcPr>
                <w:p>
                  <w:pPr>
                    <w:widowControl/>
                    <w:jc w:val="center"/>
                    <w:textAlignment w:val="center"/>
                    <w:rPr>
                      <w:rFonts w:hint="default" w:ascii="Times New Roman" w:hAnsi="Times New Roman" w:eastAsia="宋体" w:cs="Times New Roman"/>
                      <w:color w:val="auto"/>
                      <w:kern w:val="0"/>
                      <w:sz w:val="20"/>
                      <w:szCs w:val="20"/>
                      <w:highlight w:val="none"/>
                      <w:lang w:val="en-US" w:eastAsia="zh-CN" w:bidi="ar-SA"/>
                    </w:rPr>
                  </w:pPr>
                  <w:r>
                    <w:rPr>
                      <w:rFonts w:hint="eastAsia" w:cs="Times New Roman"/>
                      <w:color w:val="auto"/>
                      <w:kern w:val="0"/>
                      <w:sz w:val="20"/>
                      <w:szCs w:val="20"/>
                      <w:highlight w:val="none"/>
                      <w:lang w:val="en-US" w:eastAsia="zh-CN"/>
                    </w:rPr>
                    <w:t>占比情况</w:t>
                  </w:r>
                </w:p>
              </w:tc>
              <w:tc>
                <w:tcPr>
                  <w:tcW w:w="1639" w:type="dxa"/>
                  <w:vAlign w:val="center"/>
                </w:tcPr>
                <w:p>
                  <w:pPr>
                    <w:jc w:val="center"/>
                    <w:rPr>
                      <w:rFonts w:hint="default" w:ascii="Times New Roman" w:hAnsi="Times New Roman" w:eastAsia="宋体" w:cs="Times New Roman"/>
                      <w:color w:val="auto"/>
                      <w:kern w:val="2"/>
                      <w:sz w:val="20"/>
                      <w:szCs w:val="20"/>
                      <w:highlight w:val="none"/>
                      <w:lang w:val="en-US" w:eastAsia="zh-CN" w:bidi="ar-SA"/>
                    </w:rPr>
                  </w:pPr>
                  <w:r>
                    <w:rPr>
                      <w:rFonts w:hint="default" w:ascii="Times New Roman" w:hAnsi="Times New Roman" w:cs="Times New Roman"/>
                      <w:color w:val="auto"/>
                      <w:sz w:val="20"/>
                      <w:szCs w:val="20"/>
                      <w:highlight w:val="none"/>
                    </w:rPr>
                    <w:t>/</w:t>
                  </w:r>
                </w:p>
              </w:tc>
              <w:tc>
                <w:tcPr>
                  <w:tcW w:w="900"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88.5%</w:t>
                  </w:r>
                </w:p>
              </w:tc>
              <w:tc>
                <w:tcPr>
                  <w:tcW w:w="1566"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6.1%</w:t>
                  </w:r>
                </w:p>
              </w:tc>
              <w:tc>
                <w:tcPr>
                  <w:tcW w:w="1566"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3.7%</w:t>
                  </w:r>
                </w:p>
              </w:tc>
              <w:tc>
                <w:tcPr>
                  <w:tcW w:w="1263"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1.0%</w:t>
                  </w:r>
                </w:p>
              </w:tc>
              <w:tc>
                <w:tcPr>
                  <w:tcW w:w="1052" w:type="dxa"/>
                  <w:vAlign w:val="center"/>
                </w:tcPr>
                <w:p>
                  <w:pPr>
                    <w:widowControl/>
                    <w:jc w:val="center"/>
                    <w:textAlignment w:val="center"/>
                    <w:rPr>
                      <w:rFonts w:hint="eastAsia" w:cs="Times New Roman"/>
                      <w:color w:val="auto"/>
                      <w:kern w:val="0"/>
                      <w:sz w:val="20"/>
                      <w:szCs w:val="20"/>
                      <w:highlight w:val="none"/>
                      <w:lang w:val="en-US" w:eastAsia="zh-CN"/>
                    </w:rPr>
                  </w:pPr>
                  <w:r>
                    <w:rPr>
                      <w:rFonts w:hint="eastAsia" w:cs="Times New Roman"/>
                      <w:color w:val="auto"/>
                      <w:kern w:val="0"/>
                      <w:sz w:val="20"/>
                      <w:szCs w:val="20"/>
                      <w:highlight w:val="none"/>
                      <w:lang w:val="en-US" w:eastAsia="zh-CN"/>
                    </w:rPr>
                    <w:t>0.6%</w:t>
                  </w:r>
                </w:p>
              </w:tc>
              <w:tc>
                <w:tcPr>
                  <w:tcW w:w="1496" w:type="dxa"/>
                  <w:vAlign w:val="center"/>
                </w:tcPr>
                <w:p>
                  <w:pPr>
                    <w:widowControl/>
                    <w:jc w:val="center"/>
                    <w:textAlignment w:val="center"/>
                    <w:rPr>
                      <w:rFonts w:hint="default" w:ascii="Times New Roman" w:hAnsi="Times New Roman" w:cs="Times New Roman"/>
                      <w:color w:val="auto"/>
                      <w:kern w:val="0"/>
                      <w:sz w:val="20"/>
                      <w:szCs w:val="20"/>
                      <w:highlight w:val="none"/>
                    </w:rPr>
                  </w:pPr>
                  <w:r>
                    <w:rPr>
                      <w:rFonts w:hint="default" w:ascii="Times New Roman" w:hAnsi="Times New Roman" w:cs="Times New Roman"/>
                      <w:color w:val="auto"/>
                      <w:sz w:val="20"/>
                      <w:szCs w:val="20"/>
                      <w:highlight w:val="none"/>
                    </w:rPr>
                    <w:t>/</w:t>
                  </w:r>
                </w:p>
              </w:tc>
              <w:tc>
                <w:tcPr>
                  <w:tcW w:w="1950" w:type="dxa"/>
                  <w:vAlign w:val="center"/>
                </w:tcPr>
                <w:p>
                  <w:pPr>
                    <w:widowControl/>
                    <w:jc w:val="center"/>
                    <w:textAlignment w:val="center"/>
                    <w:rPr>
                      <w:rFonts w:hint="eastAsia" w:cs="Times New Roman"/>
                      <w:color w:val="auto"/>
                      <w:kern w:val="0"/>
                      <w:sz w:val="20"/>
                      <w:szCs w:val="20"/>
                      <w:highlight w:val="none"/>
                      <w:lang w:val="en-US" w:eastAsia="zh-CN"/>
                    </w:rPr>
                  </w:pPr>
                  <w:r>
                    <w:rPr>
                      <w:rFonts w:hint="default" w:ascii="Times New Roman" w:hAnsi="Times New Roman" w:cs="Times New Roman"/>
                      <w:color w:val="auto"/>
                      <w:sz w:val="20"/>
                      <w:szCs w:val="20"/>
                      <w:highlight w:val="none"/>
                    </w:rPr>
                    <w:t>/</w:t>
                  </w:r>
                </w:p>
              </w:tc>
              <w:tc>
                <w:tcPr>
                  <w:tcW w:w="1200" w:type="dxa"/>
                  <w:vAlign w:val="center"/>
                </w:tcPr>
                <w:p>
                  <w:pPr>
                    <w:widowControl/>
                    <w:jc w:val="center"/>
                    <w:textAlignment w:val="center"/>
                    <w:rPr>
                      <w:rFonts w:hint="eastAsia" w:cs="Times New Roman"/>
                      <w:color w:val="auto"/>
                      <w:kern w:val="0"/>
                      <w:sz w:val="20"/>
                      <w:szCs w:val="20"/>
                      <w:highlight w:val="none"/>
                      <w:lang w:val="en-US" w:eastAsia="zh-CN"/>
                    </w:rPr>
                  </w:pPr>
                  <w:r>
                    <w:rPr>
                      <w:rFonts w:hint="default" w:ascii="Times New Roman" w:hAnsi="Times New Roman" w:cs="Times New Roman"/>
                      <w:color w:val="auto"/>
                      <w:sz w:val="20"/>
                      <w:szCs w:val="20"/>
                      <w:highlight w:val="none"/>
                    </w:rPr>
                    <w:t>/</w:t>
                  </w:r>
                </w:p>
              </w:tc>
            </w:tr>
          </w:tbl>
          <w:p>
            <w:pPr>
              <w:spacing w:line="360" w:lineRule="auto"/>
              <w:jc w:val="center"/>
              <w:rPr>
                <w:b/>
                <w:bCs/>
                <w:szCs w:val="21"/>
              </w:rPr>
            </w:pPr>
          </w:p>
        </w:tc>
      </w:tr>
    </w:tbl>
    <w:p>
      <w:pPr>
        <w:spacing w:line="360" w:lineRule="auto"/>
        <w:rPr>
          <w:szCs w:val="21"/>
          <w:u w:val="none"/>
        </w:rPr>
        <w:sectPr>
          <w:pgSz w:w="16838" w:h="11906" w:orient="landscape"/>
          <w:pgMar w:top="1797" w:right="1440" w:bottom="1797" w:left="1440" w:header="851" w:footer="992" w:gutter="0"/>
          <w:cols w:space="425" w:num="1"/>
          <w:docGrid w:type="lines" w:linePitch="312" w:charSpace="0"/>
        </w:sectPr>
      </w:pPr>
    </w:p>
    <w:p>
      <w:pPr>
        <w:spacing w:line="360" w:lineRule="auto"/>
        <w:ind w:firstLine="442" w:firstLineChars="200"/>
        <w:rPr>
          <w:b/>
          <w:bCs/>
          <w:sz w:val="22"/>
          <w:szCs w:val="22"/>
        </w:rPr>
      </w:pPr>
      <w:r>
        <w:rPr>
          <w:b/>
          <w:bCs/>
          <w:sz w:val="22"/>
          <w:szCs w:val="22"/>
        </w:rPr>
        <w:t>7.</w:t>
      </w:r>
      <w:r>
        <w:rPr>
          <w:rFonts w:hint="eastAsia"/>
          <w:b/>
          <w:bCs/>
          <w:sz w:val="22"/>
          <w:szCs w:val="22"/>
          <w:lang w:val="en-US" w:eastAsia="zh-CN"/>
        </w:rPr>
        <w:t>3</w:t>
      </w:r>
      <w:r>
        <w:rPr>
          <w:b/>
          <w:bCs/>
          <w:sz w:val="22"/>
          <w:szCs w:val="22"/>
        </w:rPr>
        <w:t xml:space="preserve"> </w:t>
      </w:r>
      <w:r>
        <w:rPr>
          <w:rFonts w:hint="eastAsia"/>
          <w:b/>
          <w:bCs/>
          <w:sz w:val="22"/>
          <w:szCs w:val="22"/>
          <w:lang w:val="en-US" w:eastAsia="zh-CN"/>
        </w:rPr>
        <w:t>行业间清洗消毒效果验证</w:t>
      </w:r>
    </w:p>
    <w:p>
      <w:pPr>
        <w:spacing w:line="360" w:lineRule="auto"/>
        <w:ind w:firstLine="480"/>
        <w:rPr>
          <w:rFonts w:hint="default"/>
          <w:szCs w:val="21"/>
          <w:lang w:val="en-US" w:eastAsia="zh-CN"/>
        </w:rPr>
      </w:pPr>
      <w:r>
        <w:rPr>
          <w:rFonts w:hint="eastAsia"/>
          <w:szCs w:val="21"/>
        </w:rPr>
        <w:t>根据</w:t>
      </w:r>
      <w:r>
        <w:rPr>
          <w:rFonts w:hint="eastAsia"/>
          <w:szCs w:val="21"/>
          <w:lang w:val="en-US" w:eastAsia="zh-CN"/>
        </w:rPr>
        <w:t>预审会议专家意见，标准起草组组织光明乳业有限公司、天津富优农业科技有限公司和江苏申牛牧业有限公司3家单位，按照</w:t>
      </w:r>
      <w:r>
        <w:rPr>
          <w:rFonts w:hint="default"/>
          <w:szCs w:val="21"/>
          <w:lang w:val="en-US" w:eastAsia="zh-CN"/>
        </w:rPr>
        <w:t>农业行业标准《挤奶及储奶设备清洗消毒技术规范》（预审稿）的方法和操作要求</w:t>
      </w:r>
      <w:r>
        <w:rPr>
          <w:rFonts w:hint="eastAsia"/>
          <w:szCs w:val="21"/>
          <w:lang w:val="en-US" w:eastAsia="zh-CN"/>
        </w:rPr>
        <w:t>分别对地牧场</w:t>
      </w:r>
      <w:r>
        <w:rPr>
          <w:rFonts w:hint="default"/>
          <w:szCs w:val="21"/>
          <w:lang w:val="en-US" w:eastAsia="zh-CN"/>
        </w:rPr>
        <w:t>清洗消毒后的挤奶及储奶设备</w:t>
      </w:r>
      <w:r>
        <w:rPr>
          <w:rFonts w:hint="eastAsia"/>
          <w:szCs w:val="21"/>
          <w:lang w:val="en-US" w:eastAsia="zh-CN"/>
        </w:rPr>
        <w:t>不同位点进行样品采集并</w:t>
      </w:r>
      <w:r>
        <w:rPr>
          <w:rFonts w:hint="default"/>
          <w:szCs w:val="21"/>
          <w:lang w:val="en-US" w:eastAsia="zh-CN"/>
        </w:rPr>
        <w:t>测定菌落总数</w:t>
      </w:r>
      <w:r>
        <w:rPr>
          <w:rFonts w:hint="eastAsia"/>
          <w:szCs w:val="21"/>
          <w:lang w:val="en-US" w:eastAsia="zh-CN"/>
        </w:rPr>
        <w:t>，</w:t>
      </w:r>
      <w:r>
        <w:rPr>
          <w:rFonts w:hint="default"/>
          <w:szCs w:val="21"/>
          <w:lang w:val="en-US" w:eastAsia="zh-CN"/>
        </w:rPr>
        <w:t>以验证清洗消毒效果。经验证</w:t>
      </w:r>
      <w:r>
        <w:rPr>
          <w:rFonts w:hint="eastAsia"/>
          <w:szCs w:val="21"/>
          <w:lang w:val="en-US" w:eastAsia="zh-CN"/>
        </w:rPr>
        <w:t>，</w:t>
      </w:r>
      <w:r>
        <w:rPr>
          <w:rFonts w:hint="default"/>
          <w:szCs w:val="21"/>
          <w:lang w:val="en-US" w:eastAsia="zh-CN"/>
        </w:rPr>
        <w:t>不同位点菌落总数能够满足该项目中设定的小于50 CFU/cm</w:t>
      </w:r>
      <w:r>
        <w:rPr>
          <w:rFonts w:hint="default"/>
          <w:szCs w:val="21"/>
          <w:vertAlign w:val="superscript"/>
          <w:lang w:val="en-US" w:eastAsia="zh-CN"/>
        </w:rPr>
        <w:t>2</w:t>
      </w:r>
      <w:r>
        <w:rPr>
          <w:rFonts w:hint="default"/>
          <w:szCs w:val="21"/>
          <w:lang w:val="en-US" w:eastAsia="zh-CN"/>
        </w:rPr>
        <w:t>要求</w:t>
      </w:r>
      <w:r>
        <w:rPr>
          <w:rFonts w:hint="eastAsia"/>
          <w:szCs w:val="21"/>
          <w:lang w:val="en-US" w:eastAsia="zh-CN"/>
        </w:rPr>
        <w:t>，整体合格率为100%。3家单位的挤奶及储奶设备清洗消毒效果验证</w:t>
      </w:r>
      <w:r>
        <w:rPr>
          <w:rFonts w:hint="default" w:ascii="Times New Roman" w:hAnsi="Times New Roman" w:eastAsia="宋体" w:cs="Times New Roman"/>
          <w:sz w:val="22"/>
          <w:szCs w:val="28"/>
          <w:lang w:val="en-US" w:eastAsia="zh-CN"/>
        </w:rPr>
        <w:t>报告</w:t>
      </w:r>
      <w:r>
        <w:rPr>
          <w:rFonts w:hint="eastAsia" w:cs="Times New Roman"/>
          <w:sz w:val="22"/>
          <w:szCs w:val="28"/>
          <w:lang w:val="en-US" w:eastAsia="zh-CN"/>
        </w:rPr>
        <w:t>详见附件4</w:t>
      </w:r>
      <w:r>
        <w:rPr>
          <w:rFonts w:hint="default"/>
          <w:szCs w:val="21"/>
          <w:lang w:val="en-US" w:eastAsia="zh-CN"/>
        </w:rPr>
        <w:t>。</w:t>
      </w:r>
    </w:p>
    <w:p>
      <w:pPr>
        <w:spacing w:line="240" w:lineRule="auto"/>
        <w:rPr>
          <w:rFonts w:hint="eastAsia" w:eastAsia="黑体"/>
          <w:b/>
          <w:sz w:val="28"/>
          <w:szCs w:val="28"/>
        </w:rPr>
      </w:pPr>
      <w:r>
        <w:rPr>
          <w:rFonts w:hint="eastAsia" w:eastAsia="黑体"/>
          <w:b/>
          <w:sz w:val="28"/>
          <w:szCs w:val="28"/>
        </w:rPr>
        <w:br w:type="page"/>
      </w:r>
    </w:p>
    <w:p>
      <w:pPr>
        <w:spacing w:line="360" w:lineRule="auto"/>
        <w:rPr>
          <w:rFonts w:eastAsia="黑体"/>
          <w:b/>
          <w:sz w:val="28"/>
          <w:szCs w:val="28"/>
        </w:rPr>
      </w:pPr>
      <w:r>
        <w:rPr>
          <w:rFonts w:hint="eastAsia" w:eastAsia="黑体"/>
          <w:b/>
          <w:sz w:val="28"/>
          <w:szCs w:val="28"/>
        </w:rPr>
        <w:t>四、采用国际标准和国外先进标准的程度</w:t>
      </w:r>
    </w:p>
    <w:p>
      <w:pPr>
        <w:spacing w:line="360" w:lineRule="auto"/>
        <w:ind w:firstLine="420"/>
        <w:jc w:val="left"/>
        <w:rPr>
          <w:sz w:val="22"/>
          <w:szCs w:val="22"/>
        </w:rPr>
      </w:pPr>
      <w:r>
        <w:rPr>
          <w:rFonts w:hint="eastAsia"/>
          <w:sz w:val="22"/>
          <w:szCs w:val="22"/>
        </w:rPr>
        <w:t>不采标：经查，国际和国外均无此类标准，本标准不存在采标问题。</w:t>
      </w:r>
    </w:p>
    <w:p>
      <w:pPr>
        <w:spacing w:line="360" w:lineRule="auto"/>
        <w:rPr>
          <w:rFonts w:eastAsia="黑体"/>
          <w:b/>
          <w:sz w:val="28"/>
          <w:szCs w:val="28"/>
        </w:rPr>
      </w:pPr>
      <w:r>
        <w:rPr>
          <w:rFonts w:hint="eastAsia" w:eastAsia="黑体"/>
          <w:b/>
          <w:sz w:val="28"/>
          <w:szCs w:val="28"/>
        </w:rPr>
        <w:t>五</w:t>
      </w:r>
      <w:r>
        <w:rPr>
          <w:rFonts w:eastAsia="黑体"/>
          <w:b/>
          <w:sz w:val="28"/>
          <w:szCs w:val="28"/>
        </w:rPr>
        <w:t>、</w:t>
      </w:r>
      <w:r>
        <w:rPr>
          <w:rFonts w:hint="eastAsia" w:eastAsia="黑体"/>
          <w:b/>
          <w:sz w:val="28"/>
          <w:szCs w:val="28"/>
        </w:rPr>
        <w:t>与现行法律法规和强制性标准的关系</w:t>
      </w:r>
    </w:p>
    <w:p>
      <w:pPr>
        <w:spacing w:line="360" w:lineRule="auto"/>
        <w:ind w:firstLine="440" w:firstLineChars="200"/>
        <w:rPr>
          <w:sz w:val="22"/>
          <w:szCs w:val="22"/>
        </w:rPr>
      </w:pPr>
      <w:r>
        <w:rPr>
          <w:rFonts w:hint="eastAsia"/>
          <w:sz w:val="22"/>
          <w:szCs w:val="22"/>
        </w:rPr>
        <w:t>本标准符合《食品安全法》和《农产品质量安全法》的规定，与现行法律、法规和强制性标准没有冲突。在标准的制定过程中严格贯彻国家有关方针、政策、法律和规章，严格执行强制性国家标准和行业标准，与相关的各种基础标准相衔接，遵循政策性和协调同一性的原则。</w:t>
      </w:r>
    </w:p>
    <w:p>
      <w:pPr>
        <w:spacing w:line="360" w:lineRule="auto"/>
        <w:rPr>
          <w:rFonts w:eastAsia="黑体"/>
          <w:b/>
          <w:sz w:val="28"/>
          <w:szCs w:val="28"/>
        </w:rPr>
      </w:pPr>
      <w:r>
        <w:rPr>
          <w:rFonts w:hint="eastAsia" w:eastAsia="黑体"/>
          <w:b/>
          <w:sz w:val="28"/>
          <w:szCs w:val="28"/>
        </w:rPr>
        <w:t>六</w:t>
      </w:r>
      <w:r>
        <w:rPr>
          <w:rFonts w:eastAsia="黑体"/>
          <w:b/>
          <w:sz w:val="28"/>
          <w:szCs w:val="28"/>
        </w:rPr>
        <w:t>、</w:t>
      </w:r>
      <w:r>
        <w:rPr>
          <w:rFonts w:hint="eastAsia" w:eastAsia="黑体"/>
          <w:b/>
          <w:sz w:val="28"/>
          <w:szCs w:val="28"/>
        </w:rPr>
        <w:t>重大分歧意见的处理经过和依据</w:t>
      </w:r>
    </w:p>
    <w:p>
      <w:pPr>
        <w:spacing w:line="360" w:lineRule="auto"/>
        <w:ind w:firstLine="440" w:firstLineChars="200"/>
        <w:jc w:val="left"/>
        <w:rPr>
          <w:sz w:val="22"/>
          <w:szCs w:val="22"/>
        </w:rPr>
      </w:pPr>
      <w:r>
        <w:rPr>
          <w:rFonts w:hint="eastAsia"/>
          <w:sz w:val="22"/>
          <w:szCs w:val="22"/>
        </w:rPr>
        <w:t>本标准在编写过程中无重大意见分歧。</w:t>
      </w:r>
    </w:p>
    <w:p>
      <w:pPr>
        <w:spacing w:line="360" w:lineRule="auto"/>
        <w:rPr>
          <w:rFonts w:eastAsia="黑体"/>
          <w:b/>
          <w:sz w:val="28"/>
          <w:szCs w:val="28"/>
        </w:rPr>
      </w:pPr>
      <w:r>
        <w:rPr>
          <w:rFonts w:eastAsia="黑体"/>
          <w:b/>
          <w:sz w:val="28"/>
          <w:szCs w:val="28"/>
        </w:rPr>
        <w:t>七、标准作为强制性或推荐性标准的意见</w:t>
      </w:r>
    </w:p>
    <w:p>
      <w:pPr>
        <w:spacing w:line="360" w:lineRule="auto"/>
        <w:ind w:firstLine="440" w:firstLineChars="200"/>
        <w:jc w:val="left"/>
        <w:rPr>
          <w:sz w:val="22"/>
          <w:szCs w:val="22"/>
        </w:rPr>
      </w:pPr>
      <w:r>
        <w:rPr>
          <w:rFonts w:hint="eastAsia"/>
          <w:sz w:val="22"/>
          <w:szCs w:val="22"/>
        </w:rPr>
        <w:t>本标准的制定是为了保障乳制品质量安全，对奶畜养殖场挤奶及贮奶设备的清洗和消毒进行规范化管理；并不涉及有关国家安全、保护人体健康和人身财产安全、环境质量要求等有关强制性地方标准或强制性条文等的八项要求之一，因此建议将其作为推荐性行业标准颁布实施</w:t>
      </w:r>
      <w:r>
        <w:rPr>
          <w:sz w:val="22"/>
          <w:szCs w:val="22"/>
        </w:rPr>
        <w:t>。</w:t>
      </w:r>
    </w:p>
    <w:p>
      <w:pPr>
        <w:spacing w:line="360" w:lineRule="auto"/>
        <w:rPr>
          <w:rFonts w:eastAsia="黑体"/>
          <w:b/>
          <w:sz w:val="28"/>
          <w:szCs w:val="28"/>
        </w:rPr>
      </w:pPr>
      <w:r>
        <w:rPr>
          <w:rFonts w:eastAsia="黑体"/>
          <w:b/>
          <w:sz w:val="28"/>
          <w:szCs w:val="28"/>
        </w:rPr>
        <w:t>八、贯彻标准的要求和措施建议</w:t>
      </w:r>
    </w:p>
    <w:p>
      <w:pPr>
        <w:spacing w:line="360" w:lineRule="auto"/>
        <w:ind w:firstLine="440" w:firstLineChars="200"/>
        <w:jc w:val="left"/>
        <w:rPr>
          <w:szCs w:val="21"/>
        </w:rPr>
      </w:pPr>
      <w:r>
        <w:rPr>
          <w:sz w:val="22"/>
          <w:szCs w:val="22"/>
        </w:rPr>
        <w:t>制定本</w:t>
      </w:r>
      <w:r>
        <w:rPr>
          <w:rFonts w:hint="eastAsia"/>
          <w:sz w:val="22"/>
          <w:szCs w:val="22"/>
        </w:rPr>
        <w:t>文件</w:t>
      </w:r>
      <w:r>
        <w:rPr>
          <w:sz w:val="22"/>
          <w:szCs w:val="22"/>
        </w:rPr>
        <w:t>是为了保障</w:t>
      </w:r>
      <w:r>
        <w:rPr>
          <w:rFonts w:hint="eastAsia"/>
          <w:sz w:val="22"/>
          <w:szCs w:val="22"/>
        </w:rPr>
        <w:t>乳制品</w:t>
      </w:r>
      <w:r>
        <w:rPr>
          <w:sz w:val="22"/>
          <w:szCs w:val="22"/>
        </w:rPr>
        <w:t>质量安全，</w:t>
      </w:r>
      <w:r>
        <w:rPr>
          <w:rFonts w:hint="eastAsia"/>
          <w:sz w:val="22"/>
          <w:szCs w:val="22"/>
        </w:rPr>
        <w:t>对</w:t>
      </w:r>
      <w:r>
        <w:rPr>
          <w:rFonts w:hint="eastAsia" w:cs="宋体"/>
          <w:color w:val="000000"/>
          <w:sz w:val="22"/>
          <w:szCs w:val="28"/>
        </w:rPr>
        <w:t>奶畜养殖场挤奶及贮奶设备的清洗和消毒进行规范化管理</w:t>
      </w:r>
      <w:r>
        <w:rPr>
          <w:sz w:val="22"/>
          <w:szCs w:val="22"/>
        </w:rPr>
        <w:t>，建议农业行政主管部门采用本</w:t>
      </w:r>
      <w:r>
        <w:rPr>
          <w:rFonts w:hint="eastAsia"/>
          <w:sz w:val="22"/>
          <w:szCs w:val="22"/>
        </w:rPr>
        <w:t>文本对挤奶及贮奶设备清洗消毒</w:t>
      </w:r>
      <w:r>
        <w:rPr>
          <w:sz w:val="22"/>
          <w:szCs w:val="22"/>
        </w:rPr>
        <w:t>进行指导。</w:t>
      </w:r>
    </w:p>
    <w:p>
      <w:pPr>
        <w:spacing w:line="360" w:lineRule="auto"/>
        <w:rPr>
          <w:rFonts w:eastAsia="黑体"/>
          <w:b/>
          <w:sz w:val="28"/>
          <w:szCs w:val="28"/>
        </w:rPr>
      </w:pPr>
      <w:r>
        <w:rPr>
          <w:rFonts w:eastAsia="黑体"/>
          <w:b/>
          <w:sz w:val="28"/>
          <w:szCs w:val="28"/>
        </w:rPr>
        <w:t>九、废止现行有关标准的建议</w:t>
      </w:r>
    </w:p>
    <w:p>
      <w:pPr>
        <w:spacing w:line="360" w:lineRule="auto"/>
        <w:ind w:firstLine="440" w:firstLineChars="200"/>
        <w:jc w:val="left"/>
        <w:rPr>
          <w:sz w:val="22"/>
          <w:szCs w:val="22"/>
        </w:rPr>
      </w:pPr>
      <w:r>
        <w:rPr>
          <w:rFonts w:hint="eastAsia"/>
          <w:sz w:val="22"/>
          <w:szCs w:val="22"/>
        </w:rPr>
        <w:t>本标准为新制定发布标准，没有涉及相关现行有关标准废止问题</w:t>
      </w:r>
      <w:r>
        <w:rPr>
          <w:sz w:val="22"/>
          <w:szCs w:val="22"/>
        </w:rPr>
        <w:t>。</w:t>
      </w:r>
    </w:p>
    <w:p>
      <w:pPr>
        <w:spacing w:line="360" w:lineRule="auto"/>
        <w:jc w:val="left"/>
        <w:rPr>
          <w:rFonts w:eastAsia="黑体"/>
          <w:b/>
          <w:sz w:val="28"/>
          <w:szCs w:val="28"/>
        </w:rPr>
      </w:pPr>
      <w:r>
        <w:rPr>
          <w:rFonts w:eastAsia="黑体"/>
          <w:b/>
          <w:sz w:val="28"/>
          <w:szCs w:val="28"/>
        </w:rPr>
        <w:t>十、其他应予说明的事项</w:t>
      </w:r>
    </w:p>
    <w:p>
      <w:pPr>
        <w:spacing w:line="360" w:lineRule="auto"/>
        <w:ind w:right="840" w:firstLine="440" w:firstLineChars="200"/>
        <w:jc w:val="left"/>
        <w:rPr>
          <w:sz w:val="22"/>
          <w:szCs w:val="22"/>
        </w:rPr>
      </w:pPr>
      <w:r>
        <w:rPr>
          <w:rFonts w:hint="eastAsia"/>
          <w:sz w:val="22"/>
          <w:szCs w:val="22"/>
        </w:rPr>
        <w:t>无其他应予说明的事项。</w:t>
      </w:r>
    </w:p>
    <w:p>
      <w:pPr>
        <w:snapToGrid w:val="0"/>
        <w:spacing w:line="360" w:lineRule="auto"/>
        <w:ind w:right="840" w:firstLine="422" w:firstLineChars="200"/>
        <w:jc w:val="left"/>
        <w:rPr>
          <w:b/>
          <w:szCs w:val="21"/>
        </w:rPr>
      </w:pPr>
    </w:p>
    <w:p>
      <w:pPr>
        <w:snapToGrid w:val="0"/>
        <w:spacing w:line="360" w:lineRule="auto"/>
        <w:jc w:val="left"/>
        <w:rPr>
          <w:rFonts w:ascii="宋体" w:hAnsi="宋体"/>
          <w:sz w:val="24"/>
        </w:rPr>
        <w:sectPr>
          <w:pgSz w:w="11906" w:h="16838"/>
          <w:pgMar w:top="1440" w:right="1797" w:bottom="1440" w:left="1797" w:header="851" w:footer="992" w:gutter="0"/>
          <w:cols w:space="425" w:num="1"/>
          <w:docGrid w:type="lines" w:linePitch="312" w:charSpace="0"/>
        </w:sectPr>
      </w:pPr>
      <w:r>
        <w:rPr>
          <w:szCs w:val="21"/>
        </w:rPr>
        <w:t xml:space="preserve">                           </w:t>
      </w:r>
    </w:p>
    <w:p>
      <w:pPr>
        <w:pStyle w:val="2"/>
        <w:jc w:val="left"/>
        <w:rPr>
          <w:rFonts w:hint="eastAsia" w:ascii="微软雅黑" w:hAnsi="微软雅黑" w:eastAsia="微软雅黑" w:cs="微软雅黑"/>
          <w:b w:val="0"/>
          <w:bCs w:val="0"/>
          <w:lang w:val="en-US" w:eastAsia="zh-CN"/>
        </w:rPr>
      </w:pPr>
      <w:r>
        <w:rPr>
          <w:rFonts w:hint="eastAsia" w:ascii="微软雅黑" w:hAnsi="微软雅黑" w:eastAsia="微软雅黑" w:cs="微软雅黑"/>
          <w:b w:val="0"/>
          <w:bCs w:val="0"/>
        </w:rPr>
        <w:t>附</w:t>
      </w:r>
      <w:r>
        <w:rPr>
          <w:rFonts w:hint="eastAsia" w:ascii="微软雅黑" w:hAnsi="微软雅黑" w:eastAsia="微软雅黑" w:cs="微软雅黑"/>
          <w:b w:val="0"/>
          <w:bCs w:val="0"/>
          <w:lang w:val="en-US" w:eastAsia="zh-CN"/>
        </w:rPr>
        <w:t>件</w:t>
      </w:r>
    </w:p>
    <w:p>
      <w:pPr>
        <w:numPr>
          <w:ilvl w:val="0"/>
          <w:numId w:val="5"/>
        </w:numPr>
        <w:spacing w:line="360" w:lineRule="auto"/>
        <w:ind w:left="10560" w:hanging="10560" w:hangingChars="4800"/>
        <w:jc w:val="left"/>
        <w:rPr>
          <w:rFonts w:hint="default" w:ascii="Times New Roman" w:hAnsi="Times New Roman" w:eastAsia="宋体" w:cs="Times New Roman"/>
          <w:sz w:val="22"/>
          <w:szCs w:val="28"/>
          <w:lang w:val="en-US" w:eastAsia="zh-CN"/>
        </w:rPr>
      </w:pPr>
      <w:r>
        <w:rPr>
          <w:rFonts w:hint="default" w:ascii="Times New Roman" w:hAnsi="Times New Roman" w:eastAsia="宋体" w:cs="Times New Roman"/>
          <w:sz w:val="22"/>
          <w:szCs w:val="28"/>
          <w:lang w:val="en-US" w:eastAsia="zh-CN"/>
        </w:rPr>
        <w:t>附件1：</w:t>
      </w:r>
    </w:p>
    <w:p>
      <w:pPr>
        <w:numPr>
          <w:numId w:val="0"/>
        </w:numPr>
        <w:spacing w:line="360" w:lineRule="auto"/>
        <w:ind w:firstLine="440" w:firstLineChars="200"/>
        <w:jc w:val="left"/>
        <w:rPr>
          <w:rFonts w:hint="default" w:ascii="Times New Roman" w:hAnsi="Times New Roman" w:eastAsia="宋体" w:cs="Times New Roman"/>
          <w:sz w:val="22"/>
          <w:szCs w:val="28"/>
          <w:lang w:val="en-US" w:eastAsia="zh-CN"/>
        </w:rPr>
      </w:pPr>
      <w:r>
        <w:rPr>
          <w:rFonts w:hint="default" w:ascii="Times New Roman" w:hAnsi="Times New Roman" w:eastAsia="宋体" w:cs="Times New Roman"/>
          <w:sz w:val="22"/>
          <w:szCs w:val="28"/>
          <w:lang w:val="en-US" w:eastAsia="zh-CN"/>
        </w:rPr>
        <w:t>农业行业标准《牧场挤奶及储奶设备清洗消毒技术规范》（预审稿）审查意见；</w:t>
      </w:r>
    </w:p>
    <w:p>
      <w:pPr>
        <w:spacing w:line="360" w:lineRule="auto"/>
        <w:ind w:left="10560" w:hanging="10560" w:hangingChars="4800"/>
        <w:jc w:val="left"/>
        <w:rPr>
          <w:rFonts w:hint="default" w:ascii="Times New Roman" w:hAnsi="Times New Roman" w:eastAsia="宋体" w:cs="Times New Roman"/>
          <w:sz w:val="22"/>
          <w:szCs w:val="28"/>
          <w:lang w:val="en-US" w:eastAsia="zh-CN"/>
        </w:rPr>
      </w:pPr>
      <w:r>
        <w:rPr>
          <w:rFonts w:hint="eastAsia" w:ascii="Times New Roman" w:hAnsi="Times New Roman" w:cs="Times New Roman"/>
          <w:sz w:val="22"/>
          <w:szCs w:val="28"/>
          <w:lang w:val="en-US" w:eastAsia="zh-CN"/>
        </w:rPr>
        <w:t>（2）</w:t>
      </w:r>
      <w:r>
        <w:rPr>
          <w:rFonts w:hint="default" w:ascii="Times New Roman" w:hAnsi="Times New Roman" w:eastAsia="宋体" w:cs="Times New Roman"/>
          <w:sz w:val="22"/>
          <w:szCs w:val="28"/>
          <w:lang w:val="en-US" w:eastAsia="zh-CN"/>
        </w:rPr>
        <w:t>附件2：预审会议审查意见汇总处理表；</w:t>
      </w:r>
    </w:p>
    <w:p>
      <w:pPr>
        <w:spacing w:line="360" w:lineRule="auto"/>
        <w:ind w:left="10560" w:hanging="10560" w:hangingChars="4800"/>
        <w:jc w:val="left"/>
        <w:rPr>
          <w:rFonts w:hint="default" w:ascii="Times New Roman" w:hAnsi="Times New Roman" w:eastAsia="宋体" w:cs="Times New Roman"/>
          <w:sz w:val="22"/>
          <w:szCs w:val="28"/>
          <w:lang w:val="en-US" w:eastAsia="zh-CN"/>
        </w:rPr>
      </w:pPr>
      <w:r>
        <w:rPr>
          <w:rFonts w:hint="eastAsia" w:ascii="Times New Roman" w:hAnsi="Times New Roman" w:cs="Times New Roman"/>
          <w:sz w:val="22"/>
          <w:szCs w:val="28"/>
          <w:lang w:val="en-US" w:eastAsia="zh-CN"/>
        </w:rPr>
        <w:t>（3）</w:t>
      </w:r>
      <w:r>
        <w:rPr>
          <w:rFonts w:hint="default" w:ascii="Times New Roman" w:hAnsi="Times New Roman" w:eastAsia="宋体" w:cs="Times New Roman"/>
          <w:sz w:val="22"/>
          <w:szCs w:val="28"/>
          <w:lang w:val="en-US" w:eastAsia="zh-CN"/>
        </w:rPr>
        <w:t>附件3：定向征求意见汇总处理表；</w:t>
      </w:r>
    </w:p>
    <w:p>
      <w:pPr>
        <w:spacing w:line="360" w:lineRule="auto"/>
        <w:ind w:left="10560" w:hanging="10560" w:hangingChars="4800"/>
        <w:jc w:val="left"/>
        <w:rPr>
          <w:rFonts w:hint="default" w:ascii="Times New Roman" w:hAnsi="Times New Roman" w:eastAsia="宋体" w:cs="Times New Roman"/>
          <w:sz w:val="22"/>
          <w:szCs w:val="28"/>
          <w:lang w:val="en-US" w:eastAsia="zh-CN"/>
        </w:rPr>
      </w:pPr>
      <w:r>
        <w:rPr>
          <w:rFonts w:hint="eastAsia" w:ascii="Times New Roman" w:hAnsi="Times New Roman" w:cs="Times New Roman"/>
          <w:sz w:val="22"/>
          <w:szCs w:val="28"/>
          <w:lang w:val="en-US" w:eastAsia="zh-CN"/>
        </w:rPr>
        <w:t>（4）</w:t>
      </w:r>
      <w:r>
        <w:rPr>
          <w:rFonts w:hint="default" w:ascii="Times New Roman" w:hAnsi="Times New Roman" w:eastAsia="宋体" w:cs="Times New Roman"/>
          <w:sz w:val="22"/>
          <w:szCs w:val="28"/>
          <w:lang w:val="en-US" w:eastAsia="zh-CN"/>
        </w:rPr>
        <w:t>附件4：验证报告。</w:t>
      </w:r>
    </w:p>
    <w:p>
      <w:pPr>
        <w:rPr>
          <w:rFonts w:hint="default"/>
          <w:lang w:val="en-US" w:eastAsia="zh-CN"/>
        </w:rPr>
      </w:pPr>
      <w:r>
        <w:rPr>
          <w:rFonts w:hint="default"/>
          <w:lang w:val="en-US" w:eastAsia="zh-CN"/>
        </w:rPr>
        <w:br w:type="page"/>
      </w:r>
    </w:p>
    <w:p>
      <w:pPr>
        <w:pStyle w:val="2"/>
        <w:jc w:val="left"/>
        <w:rPr>
          <w:rFonts w:hint="default" w:ascii="微软雅黑" w:hAnsi="微软雅黑" w:eastAsia="微软雅黑" w:cs="微软雅黑"/>
          <w:b w:val="0"/>
          <w:bCs w:val="0"/>
          <w:lang w:val="en-US"/>
        </w:rPr>
      </w:pPr>
      <w:r>
        <w:rPr>
          <w:rFonts w:hint="eastAsia" w:ascii="微软雅黑" w:hAnsi="微软雅黑" w:eastAsia="微软雅黑" w:cs="微软雅黑"/>
          <w:b w:val="0"/>
          <w:bCs w:val="0"/>
        </w:rPr>
        <w:t>附</w:t>
      </w:r>
      <w:r>
        <w:rPr>
          <w:rFonts w:hint="eastAsia" w:ascii="微软雅黑" w:hAnsi="微软雅黑" w:eastAsia="微软雅黑" w:cs="微软雅黑"/>
          <w:b w:val="0"/>
          <w:bCs w:val="0"/>
          <w:lang w:val="en-US" w:eastAsia="zh-CN"/>
        </w:rPr>
        <w:t xml:space="preserve">件1 </w:t>
      </w:r>
    </w:p>
    <w:p>
      <w:pPr>
        <w:keepNext w:val="0"/>
        <w:keepLines w:val="0"/>
        <w:pageBreakBefore w:val="0"/>
        <w:widowControl w:val="0"/>
        <w:kinsoku/>
        <w:wordWrap/>
        <w:overflowPunct/>
        <w:topLinePunct w:val="0"/>
        <w:autoSpaceDE/>
        <w:autoSpaceDN/>
        <w:bidi w:val="0"/>
        <w:adjustRightInd/>
        <w:snapToGrid w:val="0"/>
        <w:spacing w:line="400" w:lineRule="exact"/>
        <w:jc w:val="center"/>
        <w:textAlignment w:val="auto"/>
        <w:rPr>
          <w:rFonts w:hint="eastAsia" w:ascii="黑体" w:hAnsi="黑体" w:eastAsia="黑体" w:cs="黑体"/>
          <w:bCs/>
          <w:color w:val="000000"/>
          <w:sz w:val="36"/>
          <w:szCs w:val="36"/>
        </w:rPr>
      </w:pPr>
      <w:r>
        <w:rPr>
          <w:rFonts w:hint="eastAsia" w:ascii="黑体" w:hAnsi="黑体" w:eastAsia="黑体" w:cs="黑体"/>
          <w:bCs/>
          <w:color w:val="000000"/>
          <w:sz w:val="36"/>
          <w:szCs w:val="36"/>
        </w:rPr>
        <w:t>农业行业标准</w:t>
      </w:r>
    </w:p>
    <w:p>
      <w:pPr>
        <w:keepNext w:val="0"/>
        <w:keepLines w:val="0"/>
        <w:pageBreakBefore w:val="0"/>
        <w:widowControl w:val="0"/>
        <w:kinsoku/>
        <w:wordWrap/>
        <w:overflowPunct/>
        <w:topLinePunct w:val="0"/>
        <w:autoSpaceDE/>
        <w:autoSpaceDN/>
        <w:bidi w:val="0"/>
        <w:adjustRightInd/>
        <w:snapToGrid w:val="0"/>
        <w:spacing w:line="400" w:lineRule="exact"/>
        <w:jc w:val="center"/>
        <w:textAlignment w:val="auto"/>
        <w:rPr>
          <w:rFonts w:ascii="黑体" w:hAnsi="黑体" w:eastAsia="黑体" w:cs="黑体"/>
          <w:bCs/>
          <w:color w:val="auto"/>
          <w:sz w:val="36"/>
          <w:szCs w:val="36"/>
          <w:highlight w:val="none"/>
        </w:rPr>
      </w:pPr>
      <w:r>
        <w:rPr>
          <w:rFonts w:hint="eastAsia" w:ascii="黑体" w:hAnsi="黑体" w:eastAsia="黑体" w:cs="黑体"/>
          <w:bCs/>
          <w:color w:val="auto"/>
          <w:sz w:val="36"/>
          <w:szCs w:val="36"/>
          <w:highlight w:val="none"/>
        </w:rPr>
        <w:t>《牧场挤奶及</w:t>
      </w:r>
      <w:r>
        <w:rPr>
          <w:rFonts w:hint="eastAsia" w:ascii="黑体" w:hAnsi="黑体" w:eastAsia="黑体" w:cs="黑体"/>
          <w:bCs/>
          <w:color w:val="auto"/>
          <w:sz w:val="36"/>
          <w:szCs w:val="36"/>
          <w:highlight w:val="none"/>
          <w:lang w:val="en-US" w:eastAsia="zh-CN"/>
        </w:rPr>
        <w:t>储</w:t>
      </w:r>
      <w:r>
        <w:rPr>
          <w:rFonts w:hint="eastAsia" w:ascii="黑体" w:hAnsi="黑体" w:eastAsia="黑体" w:cs="黑体"/>
          <w:bCs/>
          <w:color w:val="auto"/>
          <w:sz w:val="36"/>
          <w:szCs w:val="36"/>
          <w:highlight w:val="none"/>
        </w:rPr>
        <w:t>奶设备清洗消毒技术规范》（预审稿）</w:t>
      </w:r>
    </w:p>
    <w:p>
      <w:pPr>
        <w:keepNext w:val="0"/>
        <w:keepLines w:val="0"/>
        <w:pageBreakBefore w:val="0"/>
        <w:widowControl w:val="0"/>
        <w:kinsoku/>
        <w:wordWrap/>
        <w:overflowPunct/>
        <w:topLinePunct w:val="0"/>
        <w:autoSpaceDE/>
        <w:autoSpaceDN/>
        <w:bidi w:val="0"/>
        <w:adjustRightInd/>
        <w:snapToGrid w:val="0"/>
        <w:spacing w:line="400" w:lineRule="exact"/>
        <w:jc w:val="center"/>
        <w:textAlignment w:val="auto"/>
        <w:rPr>
          <w:rFonts w:ascii="Times New Roman" w:hAnsi="Times New Roman" w:eastAsia="宋体"/>
          <w:b/>
          <w:color w:val="000000"/>
          <w:sz w:val="30"/>
        </w:rPr>
      </w:pPr>
      <w:r>
        <w:rPr>
          <w:rFonts w:hint="eastAsia" w:ascii="黑体" w:hAnsi="黑体" w:eastAsia="黑体" w:cs="黑体"/>
          <w:bCs/>
          <w:color w:val="000000"/>
          <w:sz w:val="36"/>
          <w:szCs w:val="36"/>
        </w:rPr>
        <w:t>审查意见</w:t>
      </w:r>
    </w:p>
    <w:p>
      <w:pPr>
        <w:keepNext w:val="0"/>
        <w:keepLines w:val="0"/>
        <w:pageBreakBefore w:val="0"/>
        <w:widowControl w:val="0"/>
        <w:kinsoku/>
        <w:wordWrap/>
        <w:overflowPunct/>
        <w:topLinePunct w:val="0"/>
        <w:autoSpaceDE/>
        <w:autoSpaceDN/>
        <w:bidi w:val="0"/>
        <w:adjustRightInd/>
        <w:snapToGrid w:val="0"/>
        <w:spacing w:line="400" w:lineRule="exact"/>
        <w:ind w:firstLine="640" w:firstLineChars="200"/>
        <w:textAlignment w:val="auto"/>
        <w:rPr>
          <w:rFonts w:hint="eastAsia" w:ascii="Times New Roman" w:hAnsi="Times New Roman" w:eastAsia="仿宋_GB2312"/>
          <w:bCs/>
          <w:color w:val="000000"/>
          <w:sz w:val="32"/>
          <w:szCs w:val="32"/>
        </w:rPr>
      </w:pPr>
      <w:r>
        <w:rPr>
          <w:rFonts w:hint="eastAsia" w:ascii="Times New Roman" w:hAnsi="Times New Roman" w:eastAsia="仿宋_GB2312"/>
          <w:bCs/>
          <w:color w:val="auto"/>
          <w:sz w:val="32"/>
          <w:szCs w:val="32"/>
          <w:highlight w:val="none"/>
        </w:rPr>
        <w:t>2022年11月1</w:t>
      </w:r>
      <w:r>
        <w:rPr>
          <w:rFonts w:hint="eastAsia" w:ascii="Times New Roman" w:hAnsi="Times New Roman" w:eastAsia="仿宋_GB2312"/>
          <w:bCs/>
          <w:color w:val="auto"/>
          <w:sz w:val="32"/>
          <w:szCs w:val="32"/>
          <w:highlight w:val="none"/>
          <w:lang w:val="en-US" w:eastAsia="zh-CN"/>
        </w:rPr>
        <w:t>0~1</w:t>
      </w:r>
      <w:r>
        <w:rPr>
          <w:rFonts w:hint="eastAsia" w:ascii="Times New Roman" w:hAnsi="Times New Roman" w:eastAsia="仿宋_GB2312"/>
          <w:bCs/>
          <w:color w:val="auto"/>
          <w:sz w:val="32"/>
          <w:szCs w:val="32"/>
          <w:highlight w:val="none"/>
        </w:rPr>
        <w:t>1日，全国畜牧业标准化技术委员会组织专</w:t>
      </w:r>
      <w:r>
        <w:rPr>
          <w:rFonts w:hint="eastAsia" w:ascii="Times New Roman" w:hAnsi="Times New Roman" w:eastAsia="仿宋_GB2312"/>
          <w:bCs/>
          <w:color w:val="000000"/>
          <w:sz w:val="32"/>
          <w:szCs w:val="32"/>
          <w:highlight w:val="none"/>
        </w:rPr>
        <w:t>家对</w:t>
      </w:r>
      <w:r>
        <w:rPr>
          <w:rFonts w:hint="eastAsia" w:ascii="Times New Roman" w:hAnsi="Times New Roman" w:eastAsia="仿宋_GB2312"/>
          <w:bCs/>
          <w:color w:val="000000"/>
          <w:sz w:val="32"/>
          <w:szCs w:val="32"/>
          <w:highlight w:val="none"/>
          <w:lang w:eastAsia="zh-CN"/>
        </w:rPr>
        <w:t>农业农村部食品质量监督检验测试中心（上海）、</w:t>
      </w:r>
      <w:r>
        <w:rPr>
          <w:rFonts w:hint="eastAsia" w:ascii="Times New Roman" w:hAnsi="Times New Roman" w:eastAsia="仿宋_GB2312"/>
          <w:bCs/>
          <w:color w:val="000000"/>
          <w:sz w:val="32"/>
          <w:szCs w:val="32"/>
          <w:highlight w:val="none"/>
        </w:rPr>
        <w:t>上海市农产品质量安全中心等单位起草的农业行业标准《牧场挤奶及</w:t>
      </w:r>
      <w:r>
        <w:rPr>
          <w:rFonts w:hint="eastAsia" w:ascii="Times New Roman" w:hAnsi="Times New Roman" w:eastAsia="仿宋_GB2312"/>
          <w:bCs/>
          <w:color w:val="000000"/>
          <w:sz w:val="32"/>
          <w:szCs w:val="32"/>
          <w:highlight w:val="none"/>
          <w:lang w:val="en-US" w:eastAsia="zh-CN"/>
        </w:rPr>
        <w:t>贮</w:t>
      </w:r>
      <w:r>
        <w:rPr>
          <w:rFonts w:hint="eastAsia" w:ascii="Times New Roman" w:hAnsi="Times New Roman" w:eastAsia="仿宋_GB2312"/>
          <w:bCs/>
          <w:color w:val="000000"/>
          <w:sz w:val="32"/>
          <w:szCs w:val="32"/>
          <w:highlight w:val="none"/>
        </w:rPr>
        <w:t>奶设备清洗消毒技术规范》（</w:t>
      </w:r>
      <w:r>
        <w:rPr>
          <w:rFonts w:hint="eastAsia" w:ascii="Times New Roman" w:hAnsi="Times New Roman" w:eastAsia="仿宋_GB2312"/>
          <w:bCs/>
          <w:color w:val="auto"/>
          <w:sz w:val="32"/>
          <w:szCs w:val="32"/>
          <w:highlight w:val="none"/>
        </w:rPr>
        <w:t>预审稿）进行了认真审查。专家组由张学炜（组长）、顾佳升、袁耀明、毛</w:t>
      </w:r>
      <w:r>
        <w:rPr>
          <w:rFonts w:hint="eastAsia" w:ascii="Times New Roman" w:hAnsi="Times New Roman" w:eastAsia="仿宋_GB2312"/>
          <w:bCs/>
          <w:color w:val="000000"/>
          <w:sz w:val="32"/>
          <w:szCs w:val="32"/>
        </w:rPr>
        <w:t>学英、许红岩、郑百芹、王中华、李松励、李</w:t>
      </w:r>
      <w:r>
        <w:rPr>
          <w:rFonts w:ascii="Times New Roman" w:hAnsi="Times New Roman" w:eastAsia="仿宋_GB2312"/>
          <w:bCs/>
          <w:color w:val="000000"/>
          <w:sz w:val="32"/>
          <w:szCs w:val="32"/>
        </w:rPr>
        <w:t>琴</w:t>
      </w:r>
      <w:r>
        <w:rPr>
          <w:rFonts w:hint="eastAsia" w:ascii="Times New Roman" w:hAnsi="Times New Roman" w:eastAsia="仿宋_GB2312"/>
          <w:bCs/>
          <w:color w:val="000000"/>
          <w:sz w:val="32"/>
          <w:szCs w:val="32"/>
        </w:rPr>
        <w:t>、王丽芳、刘</w:t>
      </w:r>
      <w:r>
        <w:rPr>
          <w:rFonts w:ascii="Times New Roman" w:hAnsi="Times New Roman" w:eastAsia="仿宋_GB2312"/>
          <w:bCs/>
          <w:color w:val="000000"/>
          <w:sz w:val="32"/>
          <w:szCs w:val="32"/>
        </w:rPr>
        <w:t>伟</w:t>
      </w:r>
      <w:r>
        <w:rPr>
          <w:rFonts w:hint="eastAsia" w:ascii="Times New Roman" w:hAnsi="Times New Roman" w:eastAsia="仿宋_GB2312"/>
          <w:bCs/>
          <w:color w:val="000000"/>
          <w:sz w:val="32"/>
          <w:szCs w:val="32"/>
        </w:rPr>
        <w:t>组成。在听取起草专家汇报的基础上，专家组审查了标准文本及编制说明，提出如下修改意见：</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hint="eastAsia" w:ascii="Times New Roman" w:hAnsi="Times New Roman" w:eastAsia="仿宋_GB2312"/>
          <w:bCs/>
          <w:color w:val="000000"/>
          <w:sz w:val="32"/>
          <w:szCs w:val="32"/>
        </w:rPr>
      </w:pPr>
      <w:r>
        <w:rPr>
          <w:rFonts w:hint="eastAsia" w:ascii="Times New Roman" w:hAnsi="Times New Roman" w:eastAsia="仿宋_GB2312"/>
          <w:bCs/>
          <w:color w:val="000000"/>
          <w:sz w:val="32"/>
          <w:szCs w:val="32"/>
        </w:rPr>
        <w:t>修改标准名称为《挤奶及储奶设备清洗消毒技术规范》。</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ascii="Times New Roman" w:hAnsi="Times New Roman" w:eastAsia="仿宋_GB2312"/>
          <w:bCs/>
          <w:color w:val="000000"/>
          <w:sz w:val="32"/>
          <w:szCs w:val="32"/>
        </w:rPr>
      </w:pPr>
      <w:r>
        <w:rPr>
          <w:rFonts w:hint="eastAsia" w:ascii="Times New Roman" w:hAnsi="Times New Roman" w:eastAsia="仿宋_GB2312"/>
          <w:bCs/>
          <w:color w:val="000000"/>
          <w:sz w:val="32"/>
          <w:szCs w:val="32"/>
        </w:rPr>
        <w:t>修改标准章节为</w:t>
      </w:r>
      <w:r>
        <w:rPr>
          <w:rFonts w:hint="eastAsia" w:ascii="Times New Roman" w:hAnsi="Times New Roman" w:eastAsia="仿宋_GB2312"/>
          <w:bCs/>
          <w:color w:val="000000"/>
          <w:sz w:val="32"/>
          <w:szCs w:val="32"/>
          <w:lang w:val="en-US" w:eastAsia="zh-CN"/>
        </w:rPr>
        <w:t>基本要求和操作要求以及证实方法。</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ascii="Times New Roman" w:hAnsi="Times New Roman" w:eastAsia="仿宋_GB2312"/>
          <w:bCs/>
          <w:color w:val="000000"/>
          <w:sz w:val="32"/>
          <w:szCs w:val="32"/>
        </w:rPr>
      </w:pPr>
      <w:r>
        <w:rPr>
          <w:rFonts w:hint="eastAsia" w:ascii="Times New Roman" w:hAnsi="Times New Roman" w:eastAsia="仿宋_GB2312"/>
          <w:bCs/>
          <w:color w:val="000000"/>
          <w:sz w:val="32"/>
          <w:szCs w:val="32"/>
        </w:rPr>
        <w:t>删除“清洗”、“消毒”、“消毒剂”术语和定义，增加“挤奶设备”术语定义</w:t>
      </w:r>
      <w:r>
        <w:rPr>
          <w:rFonts w:hint="eastAsia" w:ascii="Times New Roman" w:hAnsi="Times New Roman" w:eastAsia="仿宋_GB2312"/>
          <w:bCs/>
          <w:color w:val="000000"/>
          <w:sz w:val="32"/>
          <w:szCs w:val="32"/>
          <w:lang w:val="en-US" w:eastAsia="zh-CN"/>
        </w:rPr>
        <w:t>的</w:t>
      </w:r>
      <w:r>
        <w:rPr>
          <w:rFonts w:hint="eastAsia" w:ascii="Times New Roman" w:hAnsi="Times New Roman" w:eastAsia="仿宋_GB2312"/>
          <w:bCs/>
          <w:color w:val="000000"/>
          <w:sz w:val="32"/>
          <w:szCs w:val="32"/>
        </w:rPr>
        <w:t>来源。</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ascii="Times New Roman" w:hAnsi="Times New Roman" w:eastAsia="仿宋_GB2312"/>
          <w:bCs/>
          <w:color w:val="000000"/>
          <w:sz w:val="32"/>
          <w:szCs w:val="32"/>
        </w:rPr>
      </w:pPr>
      <w:r>
        <w:rPr>
          <w:rFonts w:hint="eastAsia" w:ascii="Times New Roman" w:hAnsi="Times New Roman" w:eastAsia="仿宋_GB2312"/>
          <w:bCs/>
          <w:color w:val="000000"/>
          <w:sz w:val="32"/>
          <w:szCs w:val="32"/>
        </w:rPr>
        <w:t xml:space="preserve">修改清洗消毒流程图。  </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hint="eastAsia" w:ascii="Times New Roman" w:hAnsi="Times New Roman" w:eastAsia="仿宋_GB2312"/>
          <w:bCs/>
          <w:color w:val="000000"/>
          <w:sz w:val="32"/>
          <w:szCs w:val="32"/>
        </w:rPr>
      </w:pPr>
      <w:r>
        <w:rPr>
          <w:rFonts w:hint="eastAsia" w:ascii="Times New Roman" w:hAnsi="Times New Roman" w:eastAsia="仿宋_GB2312"/>
          <w:bCs/>
          <w:color w:val="000000"/>
          <w:sz w:val="32"/>
          <w:szCs w:val="32"/>
        </w:rPr>
        <w:t>新增清洗后水pH及游离性余氯的检测方法，将附录B内容修改后整合入正文。</w:t>
      </w:r>
    </w:p>
    <w:p>
      <w:pPr>
        <w:keepNext w:val="0"/>
        <w:keepLines w:val="0"/>
        <w:pageBreakBefore w:val="0"/>
        <w:widowControl w:val="0"/>
        <w:numPr>
          <w:ilvl w:val="0"/>
          <w:numId w:val="6"/>
        </w:numPr>
        <w:kinsoku/>
        <w:wordWrap/>
        <w:overflowPunct/>
        <w:topLinePunct w:val="0"/>
        <w:autoSpaceDE/>
        <w:autoSpaceDN/>
        <w:bidi w:val="0"/>
        <w:adjustRightInd/>
        <w:snapToGrid w:val="0"/>
        <w:spacing w:line="400" w:lineRule="exact"/>
        <w:ind w:firstLine="640" w:firstLineChars="200"/>
        <w:textAlignment w:val="auto"/>
        <w:rPr>
          <w:rFonts w:hint="eastAsia" w:ascii="Times New Roman" w:hAnsi="Times New Roman" w:eastAsia="仿宋_GB2312"/>
          <w:bCs/>
          <w:color w:val="000000"/>
          <w:sz w:val="32"/>
          <w:szCs w:val="32"/>
        </w:rPr>
      </w:pPr>
      <w:r>
        <w:rPr>
          <w:rFonts w:hint="eastAsia" w:ascii="Times New Roman" w:hAnsi="Times New Roman" w:eastAsia="仿宋_GB2312" w:cs="Times New Roman"/>
          <w:bCs/>
          <w:color w:val="000000"/>
          <w:sz w:val="32"/>
          <w:szCs w:val="32"/>
        </w:rPr>
        <w:t>按GB/T 1.1-2020《标准化工作导则  第1部分：标准化文件的结构和起草规则》的要求进一步规范标准文</w:t>
      </w:r>
      <w:r>
        <w:rPr>
          <w:rFonts w:hint="eastAsia" w:ascii="Times New Roman" w:hAnsi="Times New Roman" w:eastAsia="仿宋_GB2312"/>
          <w:bCs/>
          <w:color w:val="000000"/>
          <w:sz w:val="32"/>
          <w:szCs w:val="32"/>
        </w:rPr>
        <w:t>本。</w:t>
      </w:r>
    </w:p>
    <w:p>
      <w:pPr>
        <w:keepNext w:val="0"/>
        <w:keepLines w:val="0"/>
        <w:pageBreakBefore w:val="0"/>
        <w:widowControl w:val="0"/>
        <w:kinsoku/>
        <w:wordWrap/>
        <w:overflowPunct/>
        <w:topLinePunct w:val="0"/>
        <w:autoSpaceDE/>
        <w:autoSpaceDN/>
        <w:bidi w:val="0"/>
        <w:adjustRightInd/>
        <w:snapToGrid w:val="0"/>
        <w:spacing w:line="400" w:lineRule="exact"/>
        <w:ind w:firstLine="640" w:firstLineChars="200"/>
        <w:textAlignment w:val="auto"/>
        <w:rPr>
          <w:rFonts w:hint="eastAsia" w:ascii="Times New Roman" w:hAnsi="Times New Roman" w:eastAsia="仿宋_GB2312" w:cs="Times New Roman"/>
          <w:bCs/>
          <w:color w:val="000000"/>
          <w:sz w:val="32"/>
          <w:szCs w:val="32"/>
        </w:rPr>
      </w:pPr>
      <w:r>
        <w:rPr>
          <w:rFonts w:hint="eastAsia" w:ascii="Times New Roman" w:hAnsi="Times New Roman" w:eastAsia="仿宋_GB2312" w:cs="Times New Roman"/>
          <w:bCs/>
          <w:color w:val="000000"/>
          <w:sz w:val="32"/>
          <w:szCs w:val="32"/>
        </w:rPr>
        <w:t>专家组一致同意审查通过，建议标准起草单位按照上述意见进一步修改后形成公开征求意见稿，报全国畜牧业标准化技术委员会秘书处。</w:t>
      </w:r>
    </w:p>
    <w:p>
      <w:pPr>
        <w:keepNext w:val="0"/>
        <w:keepLines w:val="0"/>
        <w:pageBreakBefore w:val="0"/>
        <w:widowControl w:val="0"/>
        <w:kinsoku/>
        <w:wordWrap/>
        <w:overflowPunct/>
        <w:topLinePunct w:val="0"/>
        <w:autoSpaceDE/>
        <w:autoSpaceDN/>
        <w:bidi w:val="0"/>
        <w:adjustRightInd/>
        <w:snapToGrid w:val="0"/>
        <w:spacing w:line="400" w:lineRule="exact"/>
        <w:ind w:firstLine="0" w:firstLineChars="0"/>
        <w:textAlignment w:val="auto"/>
        <w:rPr>
          <w:rFonts w:hint="eastAsia" w:ascii="Times New Roman" w:hAnsi="Times New Roman" w:eastAsia="仿宋_GB2312"/>
          <w:bCs/>
          <w:color w:val="000000"/>
          <w:sz w:val="32"/>
          <w:szCs w:val="32"/>
        </w:rPr>
      </w:pPr>
    </w:p>
    <w:p>
      <w:pPr>
        <w:keepNext w:val="0"/>
        <w:keepLines w:val="0"/>
        <w:pageBreakBefore w:val="0"/>
        <w:widowControl w:val="0"/>
        <w:kinsoku/>
        <w:wordWrap/>
        <w:overflowPunct/>
        <w:topLinePunct w:val="0"/>
        <w:autoSpaceDE/>
        <w:autoSpaceDN/>
        <w:bidi w:val="0"/>
        <w:adjustRightInd/>
        <w:snapToGrid w:val="0"/>
        <w:spacing w:before="240" w:beforeLines="100" w:after="240" w:afterLines="100" w:line="400" w:lineRule="exact"/>
        <w:ind w:firstLine="4830" w:firstLineChars="2300"/>
        <w:textAlignment w:val="auto"/>
        <w:rPr>
          <w:rFonts w:ascii="Times New Roman" w:hAnsi="Times New Roman" w:eastAsia="仿宋_GB2312"/>
          <w:bCs/>
          <w:color w:val="000000"/>
          <w:sz w:val="32"/>
          <w:szCs w:val="32"/>
        </w:rPr>
      </w:pPr>
      <w:r>
        <w:pict>
          <v:shape id="图片 3" o:spid="_x0000_s2050" o:spt="75" alt="张学炜签名" type="#_x0000_t75" style="position:absolute;left:0pt;margin-left:291.55pt;margin-top:4.35pt;height:42.5pt;width:74.8pt;z-index:251660288;mso-width-relative:page;mso-height-relative:page;" filled="f" o:preferrelative="t" stroked="f" coordsize="21600,21600">
            <v:path/>
            <v:fill on="f" focussize="0,0"/>
            <v:stroke on="f"/>
            <v:imagedata r:id="rId17" o:title="张学炜签名"/>
            <o:lock v:ext="edit" aspectratio="t"/>
          </v:shape>
        </w:pict>
      </w:r>
      <w:r>
        <w:rPr>
          <w:rFonts w:hint="eastAsia" w:ascii="Times New Roman" w:hAnsi="Times New Roman" w:eastAsia="仿宋_GB2312"/>
          <w:bCs/>
          <w:color w:val="000000"/>
          <w:sz w:val="32"/>
          <w:szCs w:val="32"/>
        </w:rPr>
        <w:t>组长：</w:t>
      </w:r>
      <w:r>
        <w:rPr>
          <w:rFonts w:hint="eastAsia" w:ascii="Times New Roman" w:hAnsi="Times New Roman" w:eastAsia="仿宋_GB2312"/>
          <w:bCs/>
          <w:color w:val="000000"/>
          <w:sz w:val="32"/>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val="0"/>
        <w:spacing w:line="400" w:lineRule="exact"/>
        <w:ind w:firstLine="5400" w:firstLineChars="1800"/>
        <w:textAlignment w:val="auto"/>
        <w:rPr>
          <w:rFonts w:hint="eastAsia" w:ascii="Times New Roman" w:hAnsi="Times New Roman" w:eastAsia="仿宋_GB2312"/>
          <w:color w:val="000000"/>
          <w:sz w:val="30"/>
          <w:szCs w:val="20"/>
        </w:rPr>
      </w:pPr>
      <w:r>
        <w:rPr>
          <w:rFonts w:ascii="Times New Roman" w:hAnsi="Times New Roman" w:eastAsia="仿宋_GB2312"/>
          <w:color w:val="000000"/>
          <w:sz w:val="30"/>
          <w:szCs w:val="20"/>
        </w:rPr>
        <w:t>20</w:t>
      </w:r>
      <w:r>
        <w:rPr>
          <w:rFonts w:hint="eastAsia" w:ascii="Times New Roman" w:hAnsi="Times New Roman" w:eastAsia="仿宋_GB2312"/>
          <w:color w:val="000000"/>
          <w:sz w:val="30"/>
          <w:szCs w:val="20"/>
          <w:lang w:val="en-US" w:eastAsia="zh-CN"/>
        </w:rPr>
        <w:t>22</w:t>
      </w:r>
      <w:r>
        <w:rPr>
          <w:rFonts w:hint="eastAsia" w:ascii="Times New Roman" w:hAnsi="Times New Roman" w:eastAsia="仿宋_GB2312"/>
          <w:color w:val="000000"/>
          <w:sz w:val="30"/>
          <w:szCs w:val="20"/>
        </w:rPr>
        <w:t>年11月11日</w:t>
      </w:r>
    </w:p>
    <w:p>
      <w:pPr>
        <w:keepNext w:val="0"/>
        <w:keepLines w:val="0"/>
        <w:pageBreakBefore w:val="0"/>
        <w:widowControl w:val="0"/>
        <w:kinsoku/>
        <w:wordWrap/>
        <w:overflowPunct/>
        <w:topLinePunct w:val="0"/>
        <w:autoSpaceDE/>
        <w:autoSpaceDN/>
        <w:bidi w:val="0"/>
        <w:adjustRightInd/>
        <w:spacing w:line="400" w:lineRule="exact"/>
        <w:textAlignment w:val="auto"/>
        <w:rPr>
          <w:rFonts w:hint="default"/>
          <w:lang w:val="en-US" w:eastAsia="zh-CN"/>
        </w:rPr>
      </w:pPr>
      <w:r>
        <w:rPr>
          <w:rFonts w:hint="default"/>
          <w:lang w:val="en-US" w:eastAsia="zh-CN"/>
        </w:rPr>
        <w:br w:type="page"/>
      </w:r>
    </w:p>
    <w:p>
      <w:pPr>
        <w:pStyle w:val="2"/>
        <w:jc w:val="left"/>
        <w:rPr>
          <w:rFonts w:hint="default" w:ascii="微软雅黑" w:hAnsi="微软雅黑" w:eastAsia="微软雅黑" w:cs="微软雅黑"/>
          <w:b w:val="0"/>
          <w:bCs w:val="0"/>
          <w:lang w:val="en-US"/>
        </w:rPr>
      </w:pPr>
      <w:r>
        <w:rPr>
          <w:rFonts w:hint="eastAsia" w:ascii="微软雅黑" w:hAnsi="微软雅黑" w:eastAsia="微软雅黑" w:cs="微软雅黑"/>
          <w:b w:val="0"/>
          <w:bCs w:val="0"/>
        </w:rPr>
        <w:t>附</w:t>
      </w:r>
      <w:r>
        <w:rPr>
          <w:rFonts w:hint="eastAsia" w:ascii="微软雅黑" w:hAnsi="微软雅黑" w:eastAsia="微软雅黑" w:cs="微软雅黑"/>
          <w:b w:val="0"/>
          <w:bCs w:val="0"/>
          <w:lang w:val="en-US" w:eastAsia="zh-CN"/>
        </w:rPr>
        <w:t>件2</w:t>
      </w:r>
    </w:p>
    <w:p>
      <w:pPr>
        <w:snapToGrid w:val="0"/>
        <w:spacing w:line="360" w:lineRule="auto"/>
        <w:jc w:val="center"/>
        <w:rPr>
          <w:rFonts w:hint="eastAsia" w:ascii="黑体" w:hAnsi="黑体" w:eastAsia="黑体" w:cs="黑体"/>
          <w:bCs/>
          <w:color w:val="000000"/>
          <w:sz w:val="36"/>
          <w:szCs w:val="36"/>
        </w:rPr>
      </w:pPr>
      <w:r>
        <w:rPr>
          <w:rFonts w:hint="eastAsia" w:ascii="黑体" w:hAnsi="黑体" w:eastAsia="黑体" w:cs="黑体"/>
          <w:bCs/>
          <w:color w:val="000000"/>
          <w:sz w:val="36"/>
          <w:szCs w:val="36"/>
        </w:rPr>
        <w:t>预审会议审查意见汇总处理表</w:t>
      </w:r>
    </w:p>
    <w:p>
      <w:pPr>
        <w:snapToGrid w:val="0"/>
        <w:spacing w:line="360" w:lineRule="auto"/>
        <w:jc w:val="both"/>
        <w:rPr>
          <w:rFonts w:hint="eastAsia" w:ascii="Times New Roman" w:hAnsi="Times New Roman" w:eastAsia="仿宋_GB2312"/>
          <w:color w:val="000000"/>
          <w:sz w:val="30"/>
          <w:szCs w:val="28"/>
        </w:rPr>
      </w:pPr>
      <w:r>
        <w:rPr>
          <w:rFonts w:hint="eastAsia" w:ascii="Times New Roman" w:hAnsi="Times New Roman" w:eastAsia="仿宋_GB2312"/>
          <w:color w:val="000000"/>
          <w:sz w:val="30"/>
          <w:szCs w:val="28"/>
        </w:rPr>
        <w:t>标准名称：</w:t>
      </w:r>
      <w:r>
        <w:rPr>
          <w:rFonts w:hint="eastAsia" w:ascii="Times New Roman" w:hAnsi="Times New Roman" w:eastAsia="仿宋_GB2312"/>
          <w:color w:val="000000"/>
          <w:sz w:val="30"/>
          <w:szCs w:val="28"/>
          <w:u w:val="single"/>
        </w:rPr>
        <w:t>《挤奶及储奶设备清洗消毒技术规范》</w:t>
      </w:r>
      <w:r>
        <w:rPr>
          <w:rFonts w:hint="eastAsia" w:ascii="Times New Roman" w:hAnsi="Times New Roman" w:eastAsia="仿宋_GB2312"/>
          <w:color w:val="000000"/>
          <w:sz w:val="30"/>
          <w:szCs w:val="28"/>
        </w:rPr>
        <w:t xml:space="preserve">             </w:t>
      </w:r>
      <w:r>
        <w:rPr>
          <w:rFonts w:hint="eastAsia" w:ascii="Times New Roman" w:hAnsi="Times New Roman" w:eastAsia="仿宋_GB2312"/>
          <w:color w:val="000000"/>
          <w:sz w:val="30"/>
          <w:szCs w:val="28"/>
          <w:lang w:val="en-US" w:eastAsia="zh-CN"/>
        </w:rPr>
        <w:t xml:space="preserve">   </w:t>
      </w:r>
      <w:r>
        <w:rPr>
          <w:rFonts w:hint="eastAsia" w:ascii="Times New Roman" w:hAnsi="Times New Roman" w:eastAsia="仿宋_GB2312"/>
          <w:color w:val="000000"/>
          <w:sz w:val="30"/>
          <w:szCs w:val="28"/>
        </w:rPr>
        <w:t>共</w:t>
      </w:r>
      <w:r>
        <w:rPr>
          <w:rFonts w:hint="eastAsia" w:ascii="Times New Roman" w:hAnsi="Times New Roman" w:eastAsia="仿宋_GB2312"/>
          <w:color w:val="000000"/>
          <w:sz w:val="30"/>
          <w:szCs w:val="28"/>
          <w:u w:val="single"/>
        </w:rPr>
        <w:t xml:space="preserve"> </w:t>
      </w:r>
      <w:r>
        <w:rPr>
          <w:rFonts w:hint="eastAsia" w:ascii="Times New Roman" w:hAnsi="Times New Roman" w:eastAsia="仿宋_GB2312"/>
          <w:color w:val="000000"/>
          <w:sz w:val="30"/>
          <w:szCs w:val="28"/>
          <w:u w:val="single"/>
          <w:lang w:val="en-US" w:eastAsia="zh-CN"/>
        </w:rPr>
        <w:t>4</w:t>
      </w:r>
      <w:r>
        <w:rPr>
          <w:rFonts w:hint="eastAsia" w:ascii="Times New Roman" w:hAnsi="Times New Roman" w:eastAsia="仿宋_GB2312"/>
          <w:color w:val="000000"/>
          <w:sz w:val="30"/>
          <w:szCs w:val="28"/>
        </w:rPr>
        <w:t>页</w:t>
      </w:r>
    </w:p>
    <w:p>
      <w:pPr>
        <w:snapToGrid w:val="0"/>
        <w:spacing w:line="360" w:lineRule="auto"/>
        <w:jc w:val="left"/>
        <w:rPr>
          <w:rFonts w:hint="eastAsia" w:ascii="Times New Roman" w:hAnsi="Times New Roman" w:eastAsia="仿宋_GB2312"/>
          <w:color w:val="000000"/>
          <w:sz w:val="30"/>
          <w:szCs w:val="28"/>
          <w:u w:val="single"/>
        </w:rPr>
      </w:pPr>
      <w:r>
        <w:rPr>
          <w:rFonts w:hint="eastAsia" w:ascii="Times New Roman" w:hAnsi="Times New Roman" w:eastAsia="仿宋_GB2312"/>
          <w:color w:val="000000"/>
          <w:sz w:val="30"/>
          <w:szCs w:val="28"/>
        </w:rPr>
        <w:t>标准项目承担单位：</w:t>
      </w:r>
      <w:r>
        <w:rPr>
          <w:rFonts w:hint="eastAsia" w:ascii="Times New Roman" w:hAnsi="Times New Roman" w:eastAsia="仿宋_GB2312"/>
          <w:color w:val="000000"/>
          <w:sz w:val="30"/>
          <w:szCs w:val="28"/>
          <w:u w:val="single"/>
        </w:rPr>
        <w:t>上海市农产品质量安全中心等</w:t>
      </w:r>
    </w:p>
    <w:p>
      <w:pPr>
        <w:snapToGrid w:val="0"/>
        <w:spacing w:line="360" w:lineRule="auto"/>
        <w:jc w:val="center"/>
        <w:rPr>
          <w:rFonts w:ascii="Times New Roman" w:hAnsi="Times New Roman" w:eastAsia="仿宋_GB2312"/>
          <w:color w:val="000000"/>
          <w:sz w:val="30"/>
          <w:szCs w:val="28"/>
        </w:rPr>
      </w:pPr>
      <w:r>
        <w:rPr>
          <w:rFonts w:hint="eastAsia" w:ascii="Times New Roman" w:hAnsi="Times New Roman" w:eastAsia="仿宋_GB2312"/>
          <w:color w:val="000000"/>
          <w:sz w:val="30"/>
          <w:szCs w:val="28"/>
          <w:lang w:val="en-US" w:eastAsia="zh-CN"/>
        </w:rPr>
        <w:t xml:space="preserve">                                                                           </w:t>
      </w:r>
      <w:r>
        <w:rPr>
          <w:rFonts w:ascii="Times New Roman" w:hAnsi="Times New Roman" w:eastAsia="仿宋_GB2312"/>
          <w:color w:val="000000"/>
          <w:sz w:val="30"/>
          <w:szCs w:val="28"/>
        </w:rPr>
        <w:t>2022</w:t>
      </w:r>
      <w:r>
        <w:rPr>
          <w:rFonts w:hint="eastAsia" w:ascii="Times New Roman" w:hAnsi="Times New Roman" w:eastAsia="仿宋_GB2312"/>
          <w:color w:val="000000"/>
          <w:sz w:val="30"/>
          <w:szCs w:val="28"/>
        </w:rPr>
        <w:t>年</w:t>
      </w:r>
      <w:r>
        <w:rPr>
          <w:rFonts w:ascii="Times New Roman" w:hAnsi="Times New Roman" w:eastAsia="仿宋_GB2312"/>
          <w:color w:val="000000"/>
          <w:sz w:val="30"/>
          <w:szCs w:val="20"/>
        </w:rPr>
        <w:t>11</w:t>
      </w:r>
      <w:r>
        <w:rPr>
          <w:rFonts w:hint="eastAsia" w:ascii="Times New Roman" w:hAnsi="Times New Roman" w:eastAsia="仿宋_GB2312"/>
          <w:color w:val="000000"/>
          <w:sz w:val="30"/>
          <w:szCs w:val="28"/>
        </w:rPr>
        <w:t>月</w:t>
      </w:r>
      <w:r>
        <w:rPr>
          <w:rFonts w:ascii="Times New Roman" w:hAnsi="Times New Roman" w:eastAsia="仿宋_GB2312"/>
          <w:color w:val="000000"/>
          <w:sz w:val="30"/>
          <w:szCs w:val="20"/>
        </w:rPr>
        <w:t>11</w:t>
      </w:r>
      <w:r>
        <w:rPr>
          <w:rFonts w:hint="eastAsia" w:ascii="Times New Roman" w:hAnsi="Times New Roman" w:eastAsia="仿宋_GB2312"/>
          <w:color w:val="000000"/>
          <w:sz w:val="30"/>
          <w:szCs w:val="28"/>
        </w:rPr>
        <w:t>日填写</w:t>
      </w:r>
    </w:p>
    <w:tbl>
      <w:tblPr>
        <w:tblStyle w:val="8"/>
        <w:tblpPr w:leftFromText="180" w:rightFromText="180" w:vertAnchor="text" w:horzAnchor="page" w:tblpXSpec="center" w:tblpY="368"/>
        <w:tblOverlap w:val="never"/>
        <w:tblW w:w="955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1254"/>
        <w:gridCol w:w="2878"/>
        <w:gridCol w:w="1513"/>
        <w:gridCol w:w="2006"/>
        <w:gridCol w:w="11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704" w:type="dxa"/>
            <w:noWrap w:val="0"/>
            <w:vAlign w:val="center"/>
          </w:tcPr>
          <w:p>
            <w:pPr>
              <w:snapToGrid w:val="0"/>
              <w:jc w:val="center"/>
              <w:rPr>
                <w:rFonts w:ascii="Times New Roman" w:hAnsi="Times New Roman" w:eastAsia="仿宋_GB2312"/>
                <w:b/>
                <w:color w:val="000000"/>
                <w:sz w:val="30"/>
                <w:szCs w:val="28"/>
              </w:rPr>
            </w:pPr>
            <w:r>
              <w:rPr>
                <w:rFonts w:hint="eastAsia" w:ascii="Times New Roman" w:hAnsi="Times New Roman" w:eastAsia="仿宋_GB2312"/>
                <w:b/>
                <w:color w:val="000000"/>
                <w:sz w:val="30"/>
                <w:szCs w:val="28"/>
              </w:rPr>
              <w:t>序号</w:t>
            </w:r>
          </w:p>
        </w:tc>
        <w:tc>
          <w:tcPr>
            <w:tcW w:w="1254" w:type="dxa"/>
            <w:noWrap w:val="0"/>
            <w:vAlign w:val="center"/>
          </w:tcPr>
          <w:p>
            <w:pPr>
              <w:snapToGrid w:val="0"/>
              <w:jc w:val="center"/>
              <w:rPr>
                <w:rFonts w:ascii="宋体" w:hAnsi="宋体" w:eastAsia="宋体"/>
                <w:b/>
                <w:color w:val="000000"/>
                <w:sz w:val="30"/>
                <w:szCs w:val="28"/>
              </w:rPr>
            </w:pPr>
            <w:r>
              <w:rPr>
                <w:rFonts w:hint="eastAsia" w:ascii="Times New Roman" w:hAnsi="Times New Roman" w:eastAsia="仿宋_GB2312"/>
                <w:b/>
                <w:color w:val="000000"/>
                <w:sz w:val="30"/>
                <w:szCs w:val="28"/>
              </w:rPr>
              <w:t>标准章条编号</w:t>
            </w:r>
          </w:p>
        </w:tc>
        <w:tc>
          <w:tcPr>
            <w:tcW w:w="2878" w:type="dxa"/>
            <w:noWrap w:val="0"/>
            <w:vAlign w:val="center"/>
          </w:tcPr>
          <w:p>
            <w:pPr>
              <w:snapToGrid w:val="0"/>
              <w:jc w:val="center"/>
              <w:rPr>
                <w:rFonts w:ascii="Times New Roman" w:hAnsi="Times New Roman" w:eastAsia="仿宋_GB2312"/>
                <w:b/>
                <w:color w:val="000000"/>
                <w:sz w:val="30"/>
                <w:szCs w:val="30"/>
              </w:rPr>
            </w:pPr>
            <w:r>
              <w:rPr>
                <w:rFonts w:hint="eastAsia" w:ascii="Times New Roman" w:hAnsi="Times New Roman" w:eastAsia="仿宋_GB2312"/>
                <w:b/>
                <w:color w:val="000000"/>
                <w:sz w:val="30"/>
                <w:szCs w:val="30"/>
              </w:rPr>
              <w:t>意见内容</w:t>
            </w:r>
          </w:p>
        </w:tc>
        <w:tc>
          <w:tcPr>
            <w:tcW w:w="1513" w:type="dxa"/>
            <w:noWrap w:val="0"/>
            <w:vAlign w:val="center"/>
          </w:tcPr>
          <w:p>
            <w:pPr>
              <w:snapToGrid w:val="0"/>
              <w:jc w:val="center"/>
              <w:rPr>
                <w:rFonts w:ascii="Times New Roman" w:hAnsi="Times New Roman" w:eastAsia="仿宋_GB2312"/>
                <w:b/>
                <w:color w:val="000000"/>
                <w:szCs w:val="21"/>
              </w:rPr>
            </w:pPr>
            <w:r>
              <w:rPr>
                <w:rFonts w:hint="eastAsia" w:ascii="Times New Roman" w:hAnsi="Times New Roman" w:eastAsia="仿宋_GB2312"/>
                <w:b/>
                <w:color w:val="000000"/>
                <w:sz w:val="30"/>
                <w:szCs w:val="28"/>
              </w:rPr>
              <w:t>提出单位</w:t>
            </w:r>
          </w:p>
        </w:tc>
        <w:tc>
          <w:tcPr>
            <w:tcW w:w="2006" w:type="dxa"/>
            <w:noWrap w:val="0"/>
            <w:vAlign w:val="center"/>
          </w:tcPr>
          <w:p>
            <w:pPr>
              <w:snapToGrid w:val="0"/>
              <w:jc w:val="center"/>
              <w:rPr>
                <w:rFonts w:ascii="Times New Roman" w:hAnsi="Times New Roman" w:eastAsia="仿宋_GB2312"/>
                <w:b/>
                <w:color w:val="000000"/>
                <w:sz w:val="30"/>
                <w:szCs w:val="28"/>
              </w:rPr>
            </w:pPr>
            <w:r>
              <w:rPr>
                <w:rFonts w:hint="eastAsia" w:ascii="Times New Roman" w:hAnsi="Times New Roman" w:eastAsia="仿宋_GB2312"/>
                <w:b/>
                <w:color w:val="000000"/>
                <w:sz w:val="30"/>
                <w:szCs w:val="28"/>
              </w:rPr>
              <w:t>处理意见</w:t>
            </w:r>
          </w:p>
        </w:tc>
        <w:tc>
          <w:tcPr>
            <w:tcW w:w="1199" w:type="dxa"/>
            <w:noWrap w:val="0"/>
            <w:vAlign w:val="center"/>
          </w:tcPr>
          <w:p>
            <w:pPr>
              <w:snapToGrid w:val="0"/>
              <w:jc w:val="center"/>
              <w:rPr>
                <w:rFonts w:hint="eastAsia" w:ascii="Times New Roman" w:hAnsi="Times New Roman" w:eastAsia="仿宋_GB2312"/>
                <w:b/>
                <w:color w:val="000000"/>
                <w:sz w:val="30"/>
                <w:szCs w:val="28"/>
              </w:rPr>
            </w:pPr>
            <w:r>
              <w:rPr>
                <w:rFonts w:hint="eastAsia" w:ascii="Times New Roman" w:hAnsi="Times New Roman" w:eastAsia="仿宋_GB2312"/>
                <w:b/>
                <w:color w:val="000000"/>
                <w:sz w:val="30"/>
                <w:szCs w:val="28"/>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1"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全文</w:t>
            </w:r>
          </w:p>
        </w:tc>
        <w:tc>
          <w:tcPr>
            <w:tcW w:w="2878" w:type="dxa"/>
            <w:noWrap w:val="0"/>
            <w:vAlign w:val="center"/>
          </w:tcPr>
          <w:p>
            <w:pPr>
              <w:spacing w:line="360" w:lineRule="auto"/>
              <w:jc w:val="left"/>
              <w:rPr>
                <w:rFonts w:ascii="Times New Roman" w:hAnsi="Times New Roman" w:eastAsia="宋体"/>
                <w:color w:val="000000"/>
                <w:kern w:val="0"/>
                <w:szCs w:val="21"/>
              </w:rPr>
            </w:pPr>
            <w:r>
              <w:rPr>
                <w:rFonts w:hint="eastAsia" w:ascii="Times New Roman" w:hAnsi="Times New Roman" w:eastAsia="宋体"/>
                <w:color w:val="000000"/>
                <w:kern w:val="0"/>
                <w:szCs w:val="21"/>
              </w:rPr>
              <w:t>“</w:t>
            </w:r>
            <w:r>
              <w:rPr>
                <w:rFonts w:ascii="Times New Roman" w:hAnsi="Times New Roman" w:eastAsia="宋体"/>
                <w:color w:val="000000"/>
                <w:kern w:val="0"/>
                <w:szCs w:val="21"/>
              </w:rPr>
              <w:t>贮奶</w:t>
            </w:r>
            <w:r>
              <w:rPr>
                <w:rFonts w:hint="eastAsia" w:ascii="Times New Roman" w:hAnsi="Times New Roman" w:eastAsia="宋体"/>
                <w:color w:val="000000"/>
                <w:kern w:val="0"/>
                <w:szCs w:val="21"/>
              </w:rPr>
              <w:t>”</w:t>
            </w:r>
            <w:r>
              <w:rPr>
                <w:rFonts w:ascii="Times New Roman" w:hAnsi="Times New Roman" w:eastAsia="宋体"/>
                <w:color w:val="000000"/>
                <w:kern w:val="0"/>
                <w:szCs w:val="21"/>
              </w:rPr>
              <w:t>改为</w:t>
            </w:r>
            <w:r>
              <w:rPr>
                <w:rFonts w:hint="eastAsia" w:ascii="Times New Roman" w:hAnsi="Times New Roman" w:eastAsia="宋体"/>
                <w:color w:val="000000"/>
                <w:kern w:val="0"/>
                <w:szCs w:val="21"/>
              </w:rPr>
              <w:t>“</w:t>
            </w:r>
            <w:r>
              <w:rPr>
                <w:rFonts w:ascii="Times New Roman" w:hAnsi="Times New Roman" w:eastAsia="宋体"/>
                <w:color w:val="000000"/>
                <w:kern w:val="0"/>
                <w:szCs w:val="21"/>
              </w:rPr>
              <w:t>储奶</w:t>
            </w:r>
            <w:r>
              <w:rPr>
                <w:rFonts w:hint="eastAsia" w:ascii="Times New Roman" w:hAnsi="Times New Roman" w:eastAsia="宋体"/>
                <w:color w:val="000000"/>
                <w:kern w:val="0"/>
                <w:szCs w:val="21"/>
              </w:rPr>
              <w:t>”；全文格式按照G</w:t>
            </w:r>
            <w:r>
              <w:rPr>
                <w:rFonts w:ascii="Times New Roman" w:hAnsi="Times New Roman" w:eastAsia="宋体"/>
                <w:color w:val="000000"/>
                <w:kern w:val="0"/>
                <w:szCs w:val="21"/>
              </w:rPr>
              <w:t>B/T 1.1-2020</w:t>
            </w:r>
            <w:r>
              <w:rPr>
                <w:rFonts w:hint="eastAsia" w:ascii="Times New Roman" w:hAnsi="Times New Roman" w:eastAsia="宋体"/>
                <w:color w:val="000000"/>
                <w:kern w:val="0"/>
                <w:szCs w:val="21"/>
              </w:rPr>
              <w:t>进行修改</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1" w:hRule="atLeast"/>
          <w:jc w:val="center"/>
        </w:trPr>
        <w:tc>
          <w:tcPr>
            <w:tcW w:w="704" w:type="dxa"/>
            <w:noWrap w:val="0"/>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2</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封面</w:t>
            </w:r>
          </w:p>
        </w:tc>
        <w:tc>
          <w:tcPr>
            <w:tcW w:w="2878" w:type="dxa"/>
            <w:noWrap w:val="0"/>
            <w:vAlign w:val="center"/>
          </w:tcPr>
          <w:p>
            <w:pPr>
              <w:spacing w:line="360" w:lineRule="auto"/>
              <w:jc w:val="left"/>
              <w:rPr>
                <w:rFonts w:hint="eastAsia" w:ascii="Times New Roman" w:hAnsi="Times New Roman" w:eastAsia="宋体"/>
                <w:color w:val="000000"/>
                <w:kern w:val="0"/>
                <w:szCs w:val="21"/>
              </w:rPr>
            </w:pPr>
            <w:r>
              <w:rPr>
                <w:rFonts w:ascii="Times New Roman" w:hAnsi="Times New Roman" w:eastAsia="宋体"/>
                <w:color w:val="000000"/>
                <w:kern w:val="0"/>
                <w:szCs w:val="21"/>
              </w:rPr>
              <w:t>修改标准名称，由《牧场挤奶及贮奶设备清洗消毒技术规范》修改为《挤奶及储奶设备清洗消毒技术规范》</w:t>
            </w:r>
            <w:r>
              <w:rPr>
                <w:rFonts w:hint="eastAsia" w:ascii="Times New Roman" w:hAnsi="Times New Roman" w:eastAsia="宋体"/>
                <w:color w:val="000000"/>
                <w:kern w:val="0"/>
                <w:szCs w:val="21"/>
              </w:rPr>
              <w:t>；</w:t>
            </w:r>
            <w:r>
              <w:rPr>
                <w:rFonts w:ascii="Times New Roman" w:hAnsi="Times New Roman" w:eastAsia="宋体"/>
                <w:color w:val="000000"/>
                <w:kern w:val="0"/>
                <w:szCs w:val="21"/>
              </w:rPr>
              <w:t>修改标准名称英文翻译和后文一致，</w:t>
            </w:r>
            <w:r>
              <w:rPr>
                <w:rFonts w:hint="eastAsia" w:ascii="Times New Roman" w:hAnsi="Times New Roman" w:eastAsia="宋体"/>
                <w:color w:val="000000"/>
                <w:kern w:val="0"/>
                <w:szCs w:val="21"/>
              </w:rPr>
              <w:t>由“</w:t>
            </w:r>
            <w:r>
              <w:rPr>
                <w:rFonts w:ascii="Times New Roman" w:hAnsi="Times New Roman" w:eastAsia="宋体"/>
                <w:color w:val="000000"/>
                <w:kern w:val="0"/>
                <w:szCs w:val="21"/>
              </w:rPr>
              <w:t>Technical specification of cleaning and sterilizing for milking and milk storing equipment in farm</w:t>
            </w:r>
            <w:r>
              <w:rPr>
                <w:rFonts w:hint="eastAsia" w:ascii="Times New Roman" w:hAnsi="Times New Roman" w:eastAsia="宋体"/>
                <w:color w:val="000000"/>
                <w:kern w:val="0"/>
                <w:szCs w:val="21"/>
              </w:rPr>
              <w:t>”</w:t>
            </w:r>
            <w:r>
              <w:rPr>
                <w:rFonts w:ascii="Times New Roman" w:hAnsi="Times New Roman" w:eastAsia="宋体"/>
                <w:color w:val="000000"/>
                <w:kern w:val="0"/>
                <w:szCs w:val="21"/>
              </w:rPr>
              <w:t>修改为</w:t>
            </w:r>
            <w:r>
              <w:rPr>
                <w:rFonts w:hint="eastAsia" w:ascii="Times New Roman" w:hAnsi="Times New Roman" w:eastAsia="宋体"/>
                <w:color w:val="000000"/>
                <w:kern w:val="0"/>
                <w:szCs w:val="21"/>
              </w:rPr>
              <w:t xml:space="preserve">“Technical specification for cleaning and disinfection </w:t>
            </w:r>
          </w:p>
          <w:p>
            <w:pPr>
              <w:spacing w:line="360" w:lineRule="auto"/>
              <w:jc w:val="left"/>
              <w:rPr>
                <w:rFonts w:ascii="Times New Roman" w:hAnsi="Times New Roman" w:eastAsia="宋体"/>
                <w:color w:val="000000"/>
                <w:kern w:val="0"/>
                <w:szCs w:val="21"/>
              </w:rPr>
            </w:pPr>
            <w:r>
              <w:rPr>
                <w:rFonts w:hint="eastAsia" w:ascii="Times New Roman" w:hAnsi="Times New Roman" w:eastAsia="宋体"/>
                <w:color w:val="000000"/>
                <w:kern w:val="0"/>
                <w:szCs w:val="21"/>
              </w:rPr>
              <w:t>of milking and milk storage equipment”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p>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p>
            <w:pPr>
              <w:snapToGrid w:val="0"/>
              <w:jc w:val="center"/>
              <w:rPr>
                <w:rFonts w:ascii="Times New Roman" w:hAnsi="Times New Roman" w:eastAsia="宋体"/>
                <w:color w:val="000000"/>
                <w:kern w:val="0"/>
                <w:szCs w:val="21"/>
              </w:rPr>
            </w:pP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8" w:hRule="atLeast"/>
          <w:jc w:val="center"/>
        </w:trPr>
        <w:tc>
          <w:tcPr>
            <w:tcW w:w="704"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3</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目次</w:t>
            </w:r>
          </w:p>
        </w:tc>
        <w:tc>
          <w:tcPr>
            <w:tcW w:w="2878"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删除目次</w:t>
            </w:r>
          </w:p>
        </w:tc>
        <w:tc>
          <w:tcPr>
            <w:tcW w:w="1513"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专家组</w:t>
            </w:r>
          </w:p>
        </w:tc>
        <w:tc>
          <w:tcPr>
            <w:tcW w:w="2006"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2" w:hRule="atLeast"/>
          <w:jc w:val="center"/>
        </w:trPr>
        <w:tc>
          <w:tcPr>
            <w:tcW w:w="704" w:type="dxa"/>
            <w:noWrap w:val="0"/>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4</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前言</w:t>
            </w:r>
          </w:p>
        </w:tc>
        <w:tc>
          <w:tcPr>
            <w:tcW w:w="2878" w:type="dxa"/>
            <w:noWrap w:val="0"/>
            <w:vAlign w:val="center"/>
          </w:tcPr>
          <w:p>
            <w:pPr>
              <w:pStyle w:val="23"/>
              <w:autoSpaceDN w:val="0"/>
              <w:spacing w:before="240" w:after="240" w:line="360" w:lineRule="auto"/>
              <w:jc w:val="left"/>
              <w:rPr>
                <w:rFonts w:hint="eastAsia" w:ascii="Times New Roman" w:eastAsia="宋体"/>
                <w:color w:val="000000"/>
                <w:szCs w:val="21"/>
              </w:rPr>
            </w:pPr>
            <w:r>
              <w:rPr>
                <w:rFonts w:ascii="Times New Roman" w:eastAsia="宋体"/>
                <w:color w:val="000000"/>
                <w:szCs w:val="21"/>
              </w:rPr>
              <w:t>增加</w:t>
            </w:r>
            <w:r>
              <w:rPr>
                <w:rFonts w:hint="eastAsia" w:ascii="Times New Roman" w:eastAsia="宋体"/>
                <w:color w:val="000000"/>
                <w:szCs w:val="21"/>
              </w:rPr>
              <w:t>专利声明；标准</w:t>
            </w:r>
            <w:r>
              <w:rPr>
                <w:rFonts w:ascii="Times New Roman" w:eastAsia="宋体"/>
                <w:color w:val="000000"/>
                <w:szCs w:val="21"/>
              </w:rPr>
              <w:t>提出单位</w:t>
            </w:r>
            <w:r>
              <w:rPr>
                <w:rFonts w:hint="eastAsia" w:ascii="Times New Roman" w:eastAsia="宋体"/>
                <w:color w:val="000000"/>
                <w:szCs w:val="21"/>
              </w:rPr>
              <w:t>由“全国畜牧业标准化技术委员会”改为“</w:t>
            </w:r>
            <w:r>
              <w:rPr>
                <w:rFonts w:ascii="Times New Roman" w:eastAsia="宋体"/>
                <w:color w:val="000000"/>
                <w:szCs w:val="21"/>
              </w:rPr>
              <w:t>农业农村部畜牧兽医局</w:t>
            </w:r>
            <w:r>
              <w:rPr>
                <w:rFonts w:hint="eastAsia" w:ascii="Times New Roman" w:eastAsia="宋体"/>
                <w:color w:val="000000"/>
                <w:szCs w:val="21"/>
              </w:rPr>
              <w:t>”；增加归口单位；删除“本文件中附录A、附录B为资料性附录”</w:t>
            </w:r>
          </w:p>
        </w:tc>
        <w:tc>
          <w:tcPr>
            <w:tcW w:w="1513"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专家组</w:t>
            </w:r>
          </w:p>
        </w:tc>
        <w:tc>
          <w:tcPr>
            <w:tcW w:w="2006"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ascii="Times New Roman" w:eastAsia="宋体"/>
                <w:color w:val="00000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5</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 xml:space="preserve">1 </w:t>
            </w:r>
            <w:r>
              <w:rPr>
                <w:rFonts w:hint="eastAsia" w:ascii="Times New Roman" w:eastAsia="宋体"/>
                <w:color w:val="000000"/>
                <w:szCs w:val="21"/>
              </w:rPr>
              <w:t>范围</w:t>
            </w:r>
          </w:p>
        </w:tc>
        <w:tc>
          <w:tcPr>
            <w:tcW w:w="2878" w:type="dxa"/>
            <w:noWrap w:val="0"/>
            <w:vAlign w:val="center"/>
          </w:tcPr>
          <w:p>
            <w:pPr>
              <w:keepNext w:val="0"/>
              <w:keepLines w:val="0"/>
              <w:pageBreakBefore w:val="0"/>
              <w:widowControl w:val="0"/>
              <w:tabs>
                <w:tab w:val="left" w:pos="720"/>
              </w:tabs>
              <w:kinsoku/>
              <w:wordWrap/>
              <w:overflowPunct/>
              <w:topLinePunct w:val="0"/>
              <w:autoSpaceDE/>
              <w:autoSpaceDN/>
              <w:bidi w:val="0"/>
              <w:adjustRightInd/>
              <w:snapToGrid/>
              <w:spacing w:before="80" w:line="360" w:lineRule="auto"/>
              <w:textAlignment w:val="auto"/>
              <w:rPr>
                <w:rFonts w:ascii="Times New Roman" w:eastAsia="宋体"/>
                <w:color w:val="000000"/>
                <w:szCs w:val="21"/>
              </w:rPr>
            </w:pPr>
            <w:r>
              <w:rPr>
                <w:rFonts w:hint="eastAsia" w:ascii="Times New Roman" w:hAnsi="Times New Roman" w:eastAsia="宋体" w:cs="Times New Roman"/>
                <w:color w:val="000000"/>
                <w:kern w:val="0"/>
                <w:sz w:val="22"/>
                <w:szCs w:val="22"/>
                <w:lang w:val="en-US" w:eastAsia="zh-CN" w:bidi="ar-SA"/>
              </w:rPr>
              <w:t>由“本文件规定了牧场挤奶及贮奶设备清洗和消毒的术语和定义、要求、清洗消毒程序、操作及清洗消毒效果的验证。本文件适用于奶畜养殖场挤奶及贮奶设备的清洗和消毒。”修改为“本文件确立了挤奶及储奶设备的清洗消毒程序，规定了清洗消毒的基本要求和操作要求，描述了相应的证实方法。本文件适用于奶畜养殖场挤奶及储奶设备的清洗和消毒。”的描述。</w:t>
            </w:r>
          </w:p>
        </w:tc>
        <w:tc>
          <w:tcPr>
            <w:tcW w:w="1513"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专家组</w:t>
            </w:r>
          </w:p>
        </w:tc>
        <w:tc>
          <w:tcPr>
            <w:tcW w:w="2006"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hint="eastAsia" w:ascii="Times New Roman" w:hAnsi="Times New Roman" w:eastAsia="宋体"/>
                <w:color w:val="000000"/>
                <w:szCs w:val="21"/>
              </w:rPr>
            </w:pPr>
            <w:r>
              <w:rPr>
                <w:rFonts w:ascii="Times New Roman" w:hAnsi="Times New Roman" w:eastAsia="宋体"/>
                <w:color w:val="000000"/>
                <w:szCs w:val="21"/>
              </w:rPr>
              <w:t>6</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 xml:space="preserve">2 </w:t>
            </w:r>
            <w:r>
              <w:rPr>
                <w:rFonts w:hint="eastAsia" w:ascii="Times New Roman" w:eastAsia="宋体"/>
                <w:color w:val="000000"/>
                <w:szCs w:val="21"/>
              </w:rPr>
              <w:t>规范性引用文件</w:t>
            </w:r>
          </w:p>
        </w:tc>
        <w:tc>
          <w:tcPr>
            <w:tcW w:w="2878" w:type="dxa"/>
            <w:noWrap w:val="0"/>
            <w:vAlign w:val="center"/>
          </w:tcPr>
          <w:p>
            <w:pPr>
              <w:pStyle w:val="23"/>
              <w:autoSpaceDN w:val="0"/>
              <w:spacing w:before="240" w:after="240" w:line="360" w:lineRule="auto"/>
              <w:jc w:val="both"/>
              <w:rPr>
                <w:rFonts w:hint="eastAsia" w:ascii="Times New Roman" w:eastAsia="宋体"/>
                <w:color w:val="000000"/>
                <w:szCs w:val="21"/>
                <w:lang w:val="en-US" w:eastAsia="zh-CN"/>
              </w:rPr>
            </w:pPr>
            <w:r>
              <w:rPr>
                <w:rFonts w:hint="eastAsia" w:ascii="Times New Roman" w:eastAsia="宋体"/>
                <w:color w:val="000000"/>
                <w:szCs w:val="21"/>
              </w:rPr>
              <w:t>删除</w:t>
            </w:r>
            <w:r>
              <w:rPr>
                <w:rFonts w:ascii="Times New Roman" w:eastAsia="宋体"/>
                <w:color w:val="000000"/>
                <w:szCs w:val="21"/>
              </w:rPr>
              <w:t>规范性引用文件</w:t>
            </w:r>
            <w:r>
              <w:rPr>
                <w:rFonts w:hint="eastAsia" w:ascii="Times New Roman" w:eastAsia="宋体"/>
                <w:color w:val="000000"/>
                <w:szCs w:val="21"/>
              </w:rPr>
              <w:t>中</w:t>
            </w:r>
            <w:r>
              <w:rPr>
                <w:rFonts w:hint="eastAsia" w:ascii="Times New Roman" w:hAnsi="Times New Roman" w:eastAsia="宋体" w:cs="Times New Roman"/>
                <w:color w:val="000000"/>
                <w:szCs w:val="21"/>
                <w:lang w:val="en-US" w:eastAsia="zh-CN"/>
              </w:rPr>
              <w:t>GB 4789.2”、GB 4806.9、GB 19301、</w:t>
            </w:r>
            <w:r>
              <w:rPr>
                <w:rFonts w:hint="eastAsia" w:ascii="Times New Roman" w:eastAsia="宋体"/>
                <w:color w:val="000000"/>
                <w:szCs w:val="21"/>
              </w:rPr>
              <w:t>“</w:t>
            </w:r>
            <w:r>
              <w:rPr>
                <w:rFonts w:ascii="Times New Roman" w:eastAsia="宋体"/>
                <w:color w:val="000000"/>
                <w:szCs w:val="21"/>
              </w:rPr>
              <w:t>卫生部《食品用洗涤剂原料（成分）名单（2009版）》</w:t>
            </w:r>
            <w:r>
              <w:rPr>
                <w:rFonts w:hint="eastAsia" w:ascii="Times New Roman" w:eastAsia="宋体"/>
                <w:color w:val="000000"/>
                <w:szCs w:val="21"/>
              </w:rPr>
              <w:t>”</w:t>
            </w:r>
            <w:r>
              <w:rPr>
                <w:rFonts w:hint="eastAsia" w:ascii="Times New Roman" w:eastAsia="宋体"/>
                <w:color w:val="000000"/>
                <w:szCs w:val="21"/>
                <w:lang w:val="en-US" w:eastAsia="zh-CN"/>
              </w:rPr>
              <w:t>和</w:t>
            </w:r>
            <w:r>
              <w:rPr>
                <w:rFonts w:hint="eastAsia" w:ascii="Times New Roman" w:eastAsia="宋体"/>
                <w:color w:val="000000"/>
                <w:szCs w:val="21"/>
              </w:rPr>
              <w:t>“</w:t>
            </w:r>
            <w:r>
              <w:rPr>
                <w:rFonts w:ascii="Times New Roman" w:eastAsia="宋体"/>
                <w:color w:val="000000"/>
                <w:szCs w:val="21"/>
              </w:rPr>
              <w:t>卫生部《食品用消毒剂原料（成分）名单（2009版）》</w:t>
            </w:r>
            <w:r>
              <w:rPr>
                <w:rFonts w:hint="eastAsia" w:ascii="Times New Roman" w:eastAsia="宋体"/>
                <w:color w:val="000000"/>
                <w:szCs w:val="21"/>
              </w:rPr>
              <w:t>”；新增G</w:t>
            </w:r>
            <w:r>
              <w:rPr>
                <w:rFonts w:ascii="Times New Roman" w:eastAsia="宋体"/>
                <w:color w:val="000000"/>
                <w:szCs w:val="21"/>
              </w:rPr>
              <w:t>B/T</w:t>
            </w:r>
            <w:r>
              <w:rPr>
                <w:rFonts w:hint="eastAsia" w:ascii="Times New Roman" w:eastAsia="宋体"/>
                <w:color w:val="000000"/>
                <w:szCs w:val="21"/>
                <w:lang w:val="en-US" w:eastAsia="zh-CN"/>
              </w:rPr>
              <w:t xml:space="preserve"> </w:t>
            </w:r>
            <w:r>
              <w:rPr>
                <w:rFonts w:ascii="Times New Roman" w:eastAsia="宋体"/>
                <w:color w:val="000000"/>
                <w:szCs w:val="21"/>
              </w:rPr>
              <w:t>8186</w:t>
            </w:r>
            <w:r>
              <w:rPr>
                <w:rFonts w:hint="eastAsia" w:ascii="Times New Roman" w:eastAsia="宋体"/>
                <w:color w:val="000000"/>
                <w:szCs w:val="21"/>
                <w:lang w:val="en-US" w:eastAsia="zh-CN"/>
              </w:rPr>
              <w:t>和GB/T 13879。</w:t>
            </w:r>
          </w:p>
        </w:tc>
        <w:tc>
          <w:tcPr>
            <w:tcW w:w="1513"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专家组</w:t>
            </w:r>
          </w:p>
        </w:tc>
        <w:tc>
          <w:tcPr>
            <w:tcW w:w="2006"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hint="eastAsia" w:ascii="Times New Roman" w:hAnsi="Times New Roman" w:eastAsia="宋体"/>
                <w:color w:val="000000"/>
                <w:szCs w:val="21"/>
              </w:rPr>
            </w:pPr>
            <w:r>
              <w:rPr>
                <w:rFonts w:ascii="Times New Roman" w:hAnsi="Times New Roman" w:eastAsia="宋体"/>
                <w:color w:val="000000"/>
                <w:szCs w:val="21"/>
              </w:rPr>
              <w:t>7</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 xml:space="preserve">3 </w:t>
            </w:r>
            <w:r>
              <w:rPr>
                <w:rFonts w:hint="eastAsia" w:ascii="Times New Roman" w:eastAsia="宋体"/>
                <w:color w:val="000000"/>
                <w:szCs w:val="21"/>
              </w:rPr>
              <w:t>术语及定义</w:t>
            </w:r>
          </w:p>
        </w:tc>
        <w:tc>
          <w:tcPr>
            <w:tcW w:w="2878" w:type="dxa"/>
            <w:noWrap w:val="0"/>
            <w:vAlign w:val="center"/>
          </w:tcPr>
          <w:p>
            <w:pPr>
              <w:spacing w:line="360" w:lineRule="auto"/>
              <w:jc w:val="both"/>
              <w:rPr>
                <w:rFonts w:hint="eastAsia" w:ascii="Times New Roman" w:hAnsi="Times New Roman" w:eastAsia="宋体"/>
                <w:color w:val="000000"/>
                <w:kern w:val="0"/>
                <w:szCs w:val="21"/>
                <w:lang w:eastAsia="zh-CN"/>
              </w:rPr>
            </w:pPr>
            <w:r>
              <w:rPr>
                <w:rFonts w:ascii="Times New Roman" w:hAnsi="Times New Roman" w:eastAsia="宋体"/>
                <w:color w:val="000000"/>
                <w:kern w:val="0"/>
                <w:szCs w:val="21"/>
              </w:rPr>
              <w:t>删除术语</w:t>
            </w:r>
            <w:r>
              <w:rPr>
                <w:rFonts w:hint="eastAsia" w:ascii="Times New Roman" w:hAnsi="Times New Roman" w:eastAsia="宋体"/>
                <w:color w:val="000000"/>
                <w:kern w:val="0"/>
                <w:szCs w:val="21"/>
                <w:lang w:val="en-US" w:eastAsia="zh-CN"/>
              </w:rPr>
              <w:t>和</w:t>
            </w:r>
            <w:r>
              <w:rPr>
                <w:rFonts w:ascii="Times New Roman" w:hAnsi="Times New Roman" w:eastAsia="宋体"/>
                <w:color w:val="000000"/>
                <w:kern w:val="0"/>
                <w:szCs w:val="21"/>
              </w:rPr>
              <w:t>定义</w:t>
            </w:r>
            <w:r>
              <w:rPr>
                <w:rFonts w:hint="eastAsia" w:ascii="Times New Roman" w:hAnsi="Times New Roman" w:eastAsia="宋体"/>
                <w:color w:val="000000"/>
                <w:kern w:val="0"/>
                <w:szCs w:val="21"/>
              </w:rPr>
              <w:t>中“</w:t>
            </w:r>
            <w:r>
              <w:rPr>
                <w:rFonts w:ascii="Times New Roman" w:hAnsi="Times New Roman" w:eastAsia="宋体"/>
                <w:color w:val="000000"/>
                <w:kern w:val="0"/>
                <w:szCs w:val="21"/>
              </w:rPr>
              <w:t>清洗</w:t>
            </w:r>
            <w:r>
              <w:rPr>
                <w:rFonts w:hint="eastAsia" w:ascii="Times New Roman" w:hAnsi="Times New Roman" w:eastAsia="宋体"/>
                <w:color w:val="000000"/>
                <w:kern w:val="0"/>
                <w:szCs w:val="21"/>
              </w:rPr>
              <w:t>”“</w:t>
            </w:r>
            <w:r>
              <w:rPr>
                <w:rFonts w:ascii="Times New Roman" w:hAnsi="Times New Roman" w:eastAsia="宋体"/>
                <w:color w:val="000000"/>
                <w:kern w:val="0"/>
                <w:szCs w:val="21"/>
              </w:rPr>
              <w:t>消毒</w:t>
            </w:r>
            <w:r>
              <w:rPr>
                <w:rFonts w:hint="eastAsia" w:ascii="Times New Roman" w:hAnsi="Times New Roman" w:eastAsia="宋体"/>
                <w:color w:val="000000"/>
                <w:kern w:val="0"/>
                <w:szCs w:val="21"/>
              </w:rPr>
              <w:t>”</w:t>
            </w:r>
            <w:r>
              <w:rPr>
                <w:rFonts w:ascii="Times New Roman" w:hAnsi="Times New Roman" w:eastAsia="宋体"/>
                <w:color w:val="000000"/>
                <w:kern w:val="0"/>
                <w:szCs w:val="21"/>
              </w:rPr>
              <w:t>及</w:t>
            </w:r>
            <w:r>
              <w:rPr>
                <w:rFonts w:hint="eastAsia" w:ascii="Times New Roman" w:hAnsi="Times New Roman" w:eastAsia="宋体"/>
                <w:color w:val="000000"/>
                <w:kern w:val="0"/>
                <w:szCs w:val="21"/>
              </w:rPr>
              <w:t>“</w:t>
            </w:r>
            <w:r>
              <w:rPr>
                <w:rFonts w:ascii="Times New Roman" w:hAnsi="Times New Roman" w:eastAsia="宋体"/>
                <w:color w:val="000000"/>
                <w:kern w:val="0"/>
                <w:szCs w:val="21"/>
              </w:rPr>
              <w:t>消毒剂</w:t>
            </w:r>
            <w:r>
              <w:rPr>
                <w:rFonts w:hint="eastAsia" w:ascii="Times New Roman" w:hAnsi="Times New Roman" w:eastAsia="宋体"/>
                <w:color w:val="000000"/>
                <w:kern w:val="0"/>
                <w:szCs w:val="21"/>
              </w:rPr>
              <w:t>”</w:t>
            </w:r>
            <w:r>
              <w:rPr>
                <w:rFonts w:hint="eastAsia" w:ascii="Times New Roman" w:hAnsi="Times New Roman" w:eastAsia="宋体"/>
                <w:color w:val="000000"/>
                <w:kern w:val="0"/>
                <w:szCs w:val="21"/>
                <w:lang w:eastAsia="zh-CN"/>
              </w:rPr>
              <w: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ascii="Times New Roman" w:hAnsi="Times New Roman" w:eastAsia="宋体"/>
                <w:color w:val="000000"/>
                <w:szCs w:val="21"/>
              </w:rPr>
              <w:t>8</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3.1</w:t>
            </w:r>
          </w:p>
        </w:tc>
        <w:tc>
          <w:tcPr>
            <w:tcW w:w="2878" w:type="dxa"/>
            <w:noWrap w:val="0"/>
            <w:vAlign w:val="center"/>
          </w:tcPr>
          <w:p>
            <w:pPr>
              <w:spacing w:line="360" w:lineRule="auto"/>
              <w:jc w:val="both"/>
              <w:rPr>
                <w:rFonts w:hint="eastAsia" w:ascii="Times New Roman" w:hAnsi="Times New Roman" w:eastAsia="宋体"/>
                <w:color w:val="000000"/>
                <w:kern w:val="0"/>
                <w:szCs w:val="21"/>
                <w:lang w:eastAsia="zh-CN"/>
              </w:rPr>
            </w:pPr>
            <w:r>
              <w:rPr>
                <w:rFonts w:ascii="Times New Roman" w:hAnsi="Times New Roman" w:eastAsia="宋体"/>
                <w:color w:val="000000"/>
                <w:kern w:val="0"/>
                <w:szCs w:val="21"/>
              </w:rPr>
              <w:t>挤奶设备定义措辞修改，由</w:t>
            </w:r>
            <w:r>
              <w:rPr>
                <w:rFonts w:hint="eastAsia" w:ascii="Times New Roman" w:hAnsi="Times New Roman" w:eastAsia="宋体"/>
                <w:color w:val="000000"/>
                <w:kern w:val="0"/>
                <w:szCs w:val="21"/>
              </w:rPr>
              <w:t>“</w:t>
            </w:r>
            <w:r>
              <w:rPr>
                <w:rFonts w:ascii="Times New Roman" w:hAnsi="Times New Roman" w:eastAsia="宋体"/>
                <w:color w:val="000000"/>
                <w:kern w:val="0"/>
                <w:szCs w:val="21"/>
              </w:rPr>
              <w:t>真空设备</w:t>
            </w:r>
            <w:r>
              <w:rPr>
                <w:rFonts w:hint="eastAsia" w:ascii="Times New Roman" w:hAnsi="Times New Roman" w:eastAsia="宋体"/>
                <w:color w:val="000000"/>
                <w:kern w:val="0"/>
                <w:szCs w:val="21"/>
              </w:rPr>
              <w:t>”</w:t>
            </w:r>
            <w:r>
              <w:rPr>
                <w:rFonts w:ascii="Times New Roman" w:hAnsi="Times New Roman" w:eastAsia="宋体"/>
                <w:color w:val="000000"/>
                <w:kern w:val="0"/>
                <w:szCs w:val="21"/>
              </w:rPr>
              <w:t>改</w:t>
            </w:r>
            <w:r>
              <w:rPr>
                <w:rFonts w:hint="eastAsia" w:ascii="Times New Roman" w:hAnsi="Times New Roman" w:eastAsia="宋体"/>
                <w:color w:val="000000"/>
                <w:kern w:val="0"/>
                <w:szCs w:val="21"/>
                <w:lang w:val="en-US" w:eastAsia="zh-CN"/>
              </w:rPr>
              <w:t>为</w:t>
            </w:r>
            <w:r>
              <w:rPr>
                <w:rFonts w:hint="eastAsia" w:ascii="Times New Roman" w:hAnsi="Times New Roman" w:eastAsia="宋体"/>
                <w:color w:val="000000"/>
                <w:kern w:val="0"/>
                <w:szCs w:val="21"/>
              </w:rPr>
              <w:t>“</w:t>
            </w:r>
            <w:r>
              <w:rPr>
                <w:rFonts w:ascii="Times New Roman" w:hAnsi="Times New Roman" w:eastAsia="宋体"/>
                <w:color w:val="000000"/>
                <w:kern w:val="0"/>
                <w:szCs w:val="21"/>
              </w:rPr>
              <w:t>真空系统</w:t>
            </w:r>
            <w:r>
              <w:rPr>
                <w:rFonts w:hint="eastAsia" w:ascii="Times New Roman" w:hAnsi="Times New Roman" w:eastAsia="宋体"/>
                <w:color w:val="000000"/>
                <w:kern w:val="0"/>
                <w:szCs w:val="21"/>
              </w:rPr>
              <w:t>”</w:t>
            </w:r>
            <w:r>
              <w:rPr>
                <w:rFonts w:ascii="Times New Roman" w:hAnsi="Times New Roman" w:eastAsia="宋体"/>
                <w:color w:val="000000"/>
                <w:kern w:val="0"/>
                <w:szCs w:val="21"/>
              </w:rPr>
              <w:t>，</w:t>
            </w:r>
            <w:r>
              <w:rPr>
                <w:rFonts w:hint="eastAsia" w:ascii="Times New Roman" w:hAnsi="Times New Roman" w:eastAsia="宋体"/>
                <w:color w:val="000000"/>
                <w:kern w:val="0"/>
                <w:szCs w:val="21"/>
                <w:lang w:val="en-US" w:eastAsia="zh-CN"/>
              </w:rPr>
              <w:t>由</w:t>
            </w:r>
            <w:r>
              <w:rPr>
                <w:rFonts w:hint="eastAsia" w:ascii="Times New Roman" w:hAnsi="Times New Roman" w:eastAsia="宋体"/>
                <w:color w:val="000000"/>
                <w:kern w:val="0"/>
                <w:szCs w:val="21"/>
              </w:rPr>
              <w:t>“</w:t>
            </w:r>
            <w:r>
              <w:rPr>
                <w:rFonts w:ascii="Times New Roman" w:hAnsi="Times New Roman" w:eastAsia="宋体"/>
                <w:color w:val="000000"/>
                <w:kern w:val="0"/>
                <w:szCs w:val="21"/>
              </w:rPr>
              <w:t>稳压设备</w:t>
            </w:r>
            <w:r>
              <w:rPr>
                <w:rFonts w:hint="eastAsia" w:ascii="Times New Roman" w:hAnsi="Times New Roman" w:eastAsia="宋体"/>
                <w:color w:val="000000"/>
                <w:kern w:val="0"/>
                <w:szCs w:val="21"/>
              </w:rPr>
              <w:t>”</w:t>
            </w:r>
            <w:r>
              <w:rPr>
                <w:rFonts w:ascii="Times New Roman" w:hAnsi="Times New Roman" w:eastAsia="宋体"/>
                <w:color w:val="000000"/>
                <w:kern w:val="0"/>
                <w:szCs w:val="21"/>
              </w:rPr>
              <w:t>改为</w:t>
            </w:r>
            <w:r>
              <w:rPr>
                <w:rFonts w:hint="eastAsia" w:ascii="Times New Roman" w:hAnsi="Times New Roman" w:eastAsia="宋体"/>
                <w:color w:val="000000"/>
                <w:kern w:val="0"/>
                <w:szCs w:val="21"/>
              </w:rPr>
              <w:t>“</w:t>
            </w:r>
            <w:r>
              <w:rPr>
                <w:rFonts w:ascii="Times New Roman" w:hAnsi="Times New Roman" w:eastAsia="宋体"/>
                <w:color w:val="000000"/>
                <w:kern w:val="0"/>
                <w:szCs w:val="21"/>
              </w:rPr>
              <w:t>稳压系统</w:t>
            </w:r>
            <w:r>
              <w:rPr>
                <w:rFonts w:hint="eastAsia" w:ascii="Times New Roman" w:hAnsi="Times New Roman" w:eastAsia="宋体"/>
                <w:color w:val="000000"/>
                <w:kern w:val="0"/>
                <w:szCs w:val="21"/>
              </w:rPr>
              <w:t>”</w:t>
            </w:r>
            <w:r>
              <w:rPr>
                <w:rFonts w:ascii="Times New Roman" w:hAnsi="Times New Roman" w:eastAsia="宋体"/>
                <w:color w:val="000000"/>
                <w:kern w:val="0"/>
                <w:szCs w:val="21"/>
              </w:rPr>
              <w:t>，增加</w:t>
            </w:r>
            <w:r>
              <w:rPr>
                <w:rFonts w:hint="eastAsia" w:ascii="Times New Roman" w:hAnsi="Times New Roman" w:eastAsia="宋体"/>
                <w:color w:val="000000"/>
                <w:kern w:val="0"/>
                <w:szCs w:val="21"/>
              </w:rPr>
              <w:t>对</w:t>
            </w:r>
            <w:r>
              <w:rPr>
                <w:rFonts w:ascii="Times New Roman" w:hAnsi="Times New Roman" w:eastAsia="宋体"/>
                <w:color w:val="000000"/>
                <w:kern w:val="0"/>
                <w:szCs w:val="21"/>
              </w:rPr>
              <w:t>术语引用来源</w:t>
            </w:r>
            <w:r>
              <w:rPr>
                <w:rFonts w:hint="eastAsia" w:ascii="Times New Roman" w:hAnsi="Times New Roman" w:eastAsia="宋体"/>
                <w:color w:val="000000"/>
                <w:kern w:val="0"/>
                <w:szCs w:val="21"/>
              </w:rPr>
              <w:t>的</w:t>
            </w:r>
            <w:r>
              <w:rPr>
                <w:rFonts w:ascii="Times New Roman" w:hAnsi="Times New Roman" w:eastAsia="宋体"/>
                <w:color w:val="000000"/>
                <w:kern w:val="0"/>
                <w:szCs w:val="21"/>
              </w:rPr>
              <w:t>描述</w:t>
            </w:r>
            <w:r>
              <w:rPr>
                <w:rFonts w:hint="eastAsia" w:ascii="Times New Roman" w:hAnsi="Times New Roman" w:eastAsia="宋体"/>
                <w:color w:val="000000"/>
                <w:kern w:val="0"/>
                <w:szCs w:val="21"/>
              </w:rPr>
              <w:t>“[</w:t>
            </w:r>
            <w:r>
              <w:rPr>
                <w:rFonts w:ascii="Times New Roman" w:hAnsi="Times New Roman" w:eastAsia="宋体"/>
                <w:color w:val="000000"/>
                <w:kern w:val="0"/>
                <w:szCs w:val="21"/>
              </w:rPr>
              <w:t>来源：GB/T 5981—2011，3.1，有修改]</w:t>
            </w:r>
            <w:r>
              <w:rPr>
                <w:rFonts w:hint="eastAsia" w:ascii="Times New Roman" w:hAnsi="Times New Roman" w:eastAsia="宋体"/>
                <w:color w:val="000000"/>
                <w:kern w:val="0"/>
                <w:szCs w:val="21"/>
              </w:rPr>
              <w:t>”</w:t>
            </w:r>
            <w:r>
              <w:rPr>
                <w:rFonts w:hint="eastAsia" w:ascii="Times New Roman" w:hAnsi="Times New Roman" w:eastAsia="宋体"/>
                <w:color w:val="000000"/>
                <w:kern w:val="0"/>
                <w:szCs w:val="21"/>
                <w:lang w:eastAsia="zh-CN"/>
              </w:rPr>
              <w: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9</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hint="eastAsia" w:ascii="Times New Roman" w:eastAsia="宋体"/>
                <w:color w:val="000000"/>
                <w:szCs w:val="21"/>
              </w:rPr>
              <w:t>4</w:t>
            </w:r>
            <w:r>
              <w:rPr>
                <w:rFonts w:ascii="Times New Roman" w:eastAsia="宋体"/>
                <w:color w:val="000000"/>
                <w:szCs w:val="21"/>
              </w:rPr>
              <w:t xml:space="preserve"> </w:t>
            </w:r>
            <w:r>
              <w:rPr>
                <w:rFonts w:hint="eastAsia" w:ascii="Times New Roman" w:eastAsia="宋体"/>
                <w:color w:val="000000"/>
                <w:szCs w:val="21"/>
              </w:rPr>
              <w:t>清洗消毒程序</w:t>
            </w:r>
          </w:p>
        </w:tc>
        <w:tc>
          <w:tcPr>
            <w:tcW w:w="2878" w:type="dxa"/>
            <w:noWrap w:val="0"/>
            <w:vAlign w:val="center"/>
          </w:tcPr>
          <w:p>
            <w:pPr>
              <w:spacing w:line="360" w:lineRule="auto"/>
              <w:jc w:val="both"/>
              <w:rPr>
                <w:rFonts w:hint="eastAsia" w:ascii="Times New Roman" w:hAnsi="Times New Roman" w:eastAsia="宋体"/>
                <w:color w:val="000000"/>
                <w:kern w:val="0"/>
                <w:szCs w:val="21"/>
                <w:lang w:eastAsia="zh-CN"/>
              </w:rPr>
            </w:pPr>
            <w:r>
              <w:rPr>
                <w:rFonts w:hint="eastAsia" w:ascii="Times New Roman" w:hAnsi="Times New Roman" w:eastAsia="宋体"/>
                <w:color w:val="000000"/>
                <w:kern w:val="0"/>
                <w:szCs w:val="21"/>
              </w:rPr>
              <w:t>章内容修订为清洗消毒程序，原“要求”顺延，原清洗消毒流程图1内容修改后提前</w:t>
            </w:r>
            <w:r>
              <w:rPr>
                <w:rFonts w:hint="eastAsia" w:ascii="Times New Roman" w:hAnsi="Times New Roman" w:eastAsia="宋体"/>
                <w:color w:val="000000"/>
                <w:kern w:val="0"/>
                <w:szCs w:val="21"/>
                <w:lang w:eastAsia="zh-CN"/>
              </w:rPr>
              <w: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hint="eastAsia"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0</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hint="eastAsia" w:ascii="Times New Roman" w:eastAsia="宋体"/>
                <w:color w:val="000000"/>
                <w:szCs w:val="21"/>
              </w:rPr>
              <w:t>5</w:t>
            </w:r>
            <w:r>
              <w:rPr>
                <w:rFonts w:ascii="Times New Roman" w:eastAsia="宋体"/>
                <w:color w:val="000000"/>
                <w:szCs w:val="21"/>
              </w:rPr>
              <w:t xml:space="preserve"> </w:t>
            </w:r>
            <w:r>
              <w:rPr>
                <w:rFonts w:hint="eastAsia" w:ascii="Times New Roman" w:eastAsia="宋体"/>
                <w:color w:val="000000"/>
                <w:szCs w:val="21"/>
              </w:rPr>
              <w:t>基本要求</w:t>
            </w:r>
          </w:p>
        </w:tc>
        <w:tc>
          <w:tcPr>
            <w:tcW w:w="2878" w:type="dxa"/>
            <w:noWrap w:val="0"/>
            <w:vAlign w:val="center"/>
          </w:tcPr>
          <w:p>
            <w:pPr>
              <w:spacing w:line="360" w:lineRule="auto"/>
              <w:jc w:val="center"/>
              <w:rPr>
                <w:rFonts w:hint="eastAsia" w:ascii="Times New Roman" w:hAnsi="Times New Roman" w:eastAsia="宋体"/>
                <w:color w:val="000000"/>
                <w:kern w:val="0"/>
                <w:szCs w:val="21"/>
                <w:lang w:eastAsia="zh-CN"/>
              </w:rPr>
            </w:pPr>
            <w:r>
              <w:rPr>
                <w:rFonts w:hint="eastAsia" w:ascii="Times New Roman" w:hAnsi="Times New Roman" w:eastAsia="宋体"/>
                <w:color w:val="000000"/>
                <w:kern w:val="0"/>
                <w:szCs w:val="21"/>
              </w:rPr>
              <w:t>章名称由“要求”修改为“基本要求”</w:t>
            </w:r>
            <w:r>
              <w:rPr>
                <w:rFonts w:hint="eastAsia" w:ascii="Times New Roman" w:hAnsi="Times New Roman" w:eastAsia="宋体"/>
                <w:color w:val="000000"/>
                <w:kern w:val="0"/>
                <w:szCs w:val="21"/>
                <w:lang w:eastAsia="zh-CN"/>
              </w:rPr>
              <w:t>。</w:t>
            </w:r>
          </w:p>
        </w:tc>
        <w:tc>
          <w:tcPr>
            <w:tcW w:w="1513" w:type="dxa"/>
            <w:noWrap w:val="0"/>
            <w:vAlign w:val="center"/>
          </w:tcPr>
          <w:p>
            <w:pPr>
              <w:snapToGrid w:val="0"/>
              <w:jc w:val="center"/>
              <w:rPr>
                <w:rFonts w:ascii="Times New Roman" w:hAnsi="Times New Roman" w:eastAsia="宋体"/>
                <w:color w:val="000000"/>
                <w:kern w:val="0"/>
                <w:sz w:val="21"/>
                <w:szCs w:val="21"/>
                <w:lang w:val="en-US" w:eastAsia="zh-CN" w:bidi="ar-SA"/>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 w:val="21"/>
                <w:szCs w:val="21"/>
                <w:lang w:val="en-US" w:eastAsia="zh-CN" w:bidi="ar-SA"/>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1</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5.1</w:t>
            </w:r>
          </w:p>
        </w:tc>
        <w:tc>
          <w:tcPr>
            <w:tcW w:w="2878" w:type="dxa"/>
            <w:noWrap w:val="0"/>
            <w:vAlign w:val="center"/>
          </w:tcPr>
          <w:p>
            <w:pPr>
              <w:spacing w:line="360" w:lineRule="auto"/>
              <w:jc w:val="center"/>
              <w:rPr>
                <w:rFonts w:ascii="Times New Roman" w:hAnsi="Times New Roman" w:eastAsia="宋体"/>
                <w:color w:val="000000"/>
                <w:kern w:val="0"/>
                <w:szCs w:val="21"/>
              </w:rPr>
            </w:pPr>
            <w:r>
              <w:rPr>
                <w:rFonts w:hint="eastAsia" w:ascii="Times New Roman" w:hAnsi="Times New Roman" w:eastAsia="宋体"/>
                <w:color w:val="000000"/>
                <w:kern w:val="0"/>
                <w:szCs w:val="21"/>
              </w:rPr>
              <w:t>新增人员要求</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hint="eastAsia"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2</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5.2</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新增场所要求</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3</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ascii="Times New Roman" w:eastAsia="宋体"/>
                <w:color w:val="000000"/>
                <w:szCs w:val="21"/>
              </w:rPr>
              <w:t>5.3</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由“</w:t>
            </w:r>
            <w:r>
              <w:rPr>
                <w:rFonts w:hint="eastAsia" w:ascii="Times New Roman" w:hAnsi="Times New Roman" w:eastAsia="宋体"/>
                <w:color w:val="000000"/>
                <w:kern w:val="0"/>
                <w:szCs w:val="21"/>
                <w:lang w:val="en-US" w:eastAsia="zh-CN"/>
              </w:rPr>
              <w:t>贮</w:t>
            </w:r>
            <w:r>
              <w:rPr>
                <w:rFonts w:hint="eastAsia" w:ascii="Times New Roman" w:hAnsi="Times New Roman" w:eastAsia="宋体"/>
                <w:color w:val="000000"/>
                <w:kern w:val="0"/>
                <w:szCs w:val="21"/>
              </w:rPr>
              <w:t>奶设备”要求改为“挤奶及储奶设备”要求</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4</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ascii="Times New Roman" w:eastAsia="宋体"/>
                <w:color w:val="000000"/>
                <w:szCs w:val="21"/>
              </w:rPr>
              <w:t>5.5</w:t>
            </w:r>
          </w:p>
        </w:tc>
        <w:tc>
          <w:tcPr>
            <w:tcW w:w="2878" w:type="dxa"/>
            <w:noWrap w:val="0"/>
            <w:vAlign w:val="center"/>
          </w:tcPr>
          <w:p>
            <w:pPr>
              <w:spacing w:line="360" w:lineRule="auto"/>
              <w:jc w:val="both"/>
              <w:rPr>
                <w:rFonts w:hint="eastAsia" w:ascii="Times New Roman" w:hAnsi="Times New Roman" w:eastAsia="宋体"/>
                <w:color w:val="000000"/>
                <w:kern w:val="0"/>
                <w:szCs w:val="21"/>
                <w:lang w:eastAsia="zh-CN"/>
              </w:rPr>
            </w:pPr>
            <w:r>
              <w:rPr>
                <w:rFonts w:hint="eastAsia" w:ascii="Times New Roman" w:hAnsi="Times New Roman" w:eastAsia="宋体"/>
                <w:color w:val="000000"/>
                <w:kern w:val="0"/>
                <w:szCs w:val="21"/>
              </w:rPr>
              <w:t>删除</w:t>
            </w:r>
            <w:r>
              <w:rPr>
                <w:rFonts w:ascii="Times New Roman" w:hAnsi="Times New Roman" w:eastAsia="宋体"/>
                <w:color w:val="000000"/>
                <w:szCs w:val="21"/>
              </w:rPr>
              <w:t>卫生部《食品用洗涤剂原料（成分）名单（2009版）》</w:t>
            </w:r>
            <w:r>
              <w:rPr>
                <w:rFonts w:hint="eastAsia" w:ascii="Times New Roman" w:hAnsi="Times New Roman" w:eastAsia="宋体"/>
                <w:color w:val="000000"/>
                <w:szCs w:val="21"/>
              </w:rPr>
              <w:t>和</w:t>
            </w:r>
            <w:r>
              <w:rPr>
                <w:rFonts w:ascii="Times New Roman" w:hAnsi="Times New Roman" w:eastAsia="宋体"/>
                <w:color w:val="000000"/>
                <w:szCs w:val="21"/>
              </w:rPr>
              <w:t>卫生部《食品用消毒剂原料（成分）名单（2009版）》</w:t>
            </w:r>
            <w:r>
              <w:rPr>
                <w:rFonts w:hint="eastAsia" w:ascii="Times New Roman" w:hAnsi="Times New Roman" w:eastAsia="宋体"/>
                <w:color w:val="000000"/>
                <w:szCs w:val="21"/>
                <w:lang w:eastAsia="zh-CN"/>
              </w:rPr>
              <w: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0" w:hRule="atLeast"/>
          <w:jc w:val="center"/>
        </w:trPr>
        <w:tc>
          <w:tcPr>
            <w:tcW w:w="704" w:type="dxa"/>
            <w:noWrap w:val="0"/>
            <w:vAlign w:val="center"/>
          </w:tcPr>
          <w:p>
            <w:pPr>
              <w:snapToGrid w:val="0"/>
              <w:jc w:val="center"/>
              <w:rPr>
                <w:rFonts w:ascii="Times New Roman" w:hAnsi="Times New Roman" w:eastAsia="宋体"/>
                <w:color w:val="000000"/>
                <w:szCs w:val="21"/>
              </w:rPr>
            </w:pPr>
            <w:r>
              <w:rPr>
                <w:rFonts w:hint="eastAsia" w:ascii="Times New Roman" w:hAnsi="Times New Roman" w:eastAsia="宋体"/>
                <w:color w:val="000000"/>
                <w:szCs w:val="21"/>
              </w:rPr>
              <w:t>1</w:t>
            </w:r>
            <w:r>
              <w:rPr>
                <w:rFonts w:ascii="Times New Roman" w:hAnsi="Times New Roman" w:eastAsia="宋体"/>
                <w:color w:val="000000"/>
                <w:szCs w:val="21"/>
              </w:rPr>
              <w:t>5</w:t>
            </w:r>
          </w:p>
        </w:tc>
        <w:tc>
          <w:tcPr>
            <w:tcW w:w="1254" w:type="dxa"/>
            <w:noWrap w:val="0"/>
            <w:vAlign w:val="center"/>
          </w:tcPr>
          <w:p>
            <w:pPr>
              <w:pStyle w:val="23"/>
              <w:autoSpaceDN w:val="0"/>
              <w:spacing w:before="240" w:after="240" w:line="360" w:lineRule="auto"/>
              <w:jc w:val="center"/>
              <w:rPr>
                <w:rFonts w:ascii="Times New Roman" w:eastAsia="宋体"/>
                <w:color w:val="000000"/>
                <w:szCs w:val="21"/>
              </w:rPr>
            </w:pPr>
            <w:r>
              <w:rPr>
                <w:rFonts w:ascii="Times New Roman" w:eastAsia="宋体"/>
                <w:color w:val="000000"/>
                <w:szCs w:val="21"/>
              </w:rPr>
              <w:t>6</w:t>
            </w:r>
          </w:p>
        </w:tc>
        <w:tc>
          <w:tcPr>
            <w:tcW w:w="2878" w:type="dxa"/>
            <w:noWrap w:val="0"/>
            <w:vAlign w:val="center"/>
          </w:tcPr>
          <w:p>
            <w:pPr>
              <w:spacing w:line="360" w:lineRule="auto"/>
              <w:jc w:val="both"/>
              <w:rPr>
                <w:rFonts w:hint="eastAsia" w:ascii="Times New Roman" w:hAnsi="Times New Roman" w:eastAsia="宋体"/>
                <w:color w:val="000000"/>
                <w:kern w:val="0"/>
                <w:szCs w:val="21"/>
                <w:lang w:eastAsia="zh-CN"/>
              </w:rPr>
            </w:pPr>
            <w:r>
              <w:rPr>
                <w:rFonts w:hint="eastAsia" w:ascii="Times New Roman" w:hAnsi="Times New Roman" w:eastAsia="宋体"/>
                <w:color w:val="000000"/>
                <w:kern w:val="0"/>
                <w:szCs w:val="21"/>
              </w:rPr>
              <w:t>章题目由“清洗消毒程序”修改为“清洗消毒操作要求”</w:t>
            </w:r>
            <w:r>
              <w:rPr>
                <w:rFonts w:hint="eastAsia" w:ascii="Times New Roman" w:hAnsi="Times New Roman" w:eastAsia="宋体"/>
                <w:color w:val="000000"/>
                <w:kern w:val="0"/>
                <w:szCs w:val="21"/>
                <w:lang w:eastAsia="zh-CN"/>
              </w:rPr>
              <w:t>。</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5" w:hRule="atLeast"/>
          <w:jc w:val="center"/>
        </w:trPr>
        <w:tc>
          <w:tcPr>
            <w:tcW w:w="704" w:type="dxa"/>
            <w:noWrap w:val="0"/>
            <w:vAlign w:val="center"/>
          </w:tcPr>
          <w:p>
            <w:pPr>
              <w:snapToGrid w:val="0"/>
              <w:jc w:val="center"/>
              <w:rPr>
                <w:rFonts w:hint="eastAsia" w:ascii="Times New Roman" w:hAnsi="Times New Roman" w:eastAsia="宋体"/>
                <w:color w:val="000000"/>
                <w:szCs w:val="21"/>
                <w:lang w:eastAsia="zh-CN"/>
              </w:rPr>
            </w:pPr>
            <w:r>
              <w:rPr>
                <w:rFonts w:hint="eastAsia" w:ascii="Times New Roman" w:hAnsi="Times New Roman" w:eastAsia="宋体"/>
                <w:color w:val="000000"/>
                <w:szCs w:val="21"/>
              </w:rPr>
              <w:t>1</w:t>
            </w:r>
            <w:r>
              <w:rPr>
                <w:rFonts w:hint="eastAsia" w:ascii="Times New Roman" w:hAnsi="Times New Roman" w:eastAsia="宋体"/>
                <w:color w:val="000000"/>
                <w:szCs w:val="21"/>
                <w:lang w:val="en-US" w:eastAsia="zh-CN"/>
              </w:rPr>
              <w:t>6</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ascii="Times New Roman" w:eastAsia="宋体"/>
                <w:color w:val="000000"/>
                <w:szCs w:val="21"/>
              </w:rPr>
              <w:t>6.4</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增加酸洗频次要求</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7" w:hRule="atLeast"/>
          <w:jc w:val="center"/>
        </w:trPr>
        <w:tc>
          <w:tcPr>
            <w:tcW w:w="704" w:type="dxa"/>
            <w:noWrap w:val="0"/>
            <w:vAlign w:val="center"/>
          </w:tcPr>
          <w:p>
            <w:pPr>
              <w:snapToGrid w:val="0"/>
              <w:jc w:val="center"/>
              <w:rPr>
                <w:rFonts w:hint="default"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17</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hint="eastAsia" w:ascii="Times New Roman" w:eastAsia="宋体"/>
                <w:color w:val="000000"/>
                <w:szCs w:val="21"/>
              </w:rPr>
              <w:t>6</w:t>
            </w:r>
            <w:r>
              <w:rPr>
                <w:rFonts w:ascii="Times New Roman" w:eastAsia="宋体"/>
                <w:color w:val="000000"/>
                <w:szCs w:val="21"/>
              </w:rPr>
              <w:t>.7</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新增拆洗消毒要求</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2" w:hRule="atLeast"/>
          <w:jc w:val="center"/>
        </w:trPr>
        <w:tc>
          <w:tcPr>
            <w:tcW w:w="704" w:type="dxa"/>
            <w:noWrap w:val="0"/>
            <w:vAlign w:val="center"/>
          </w:tcPr>
          <w:p>
            <w:pPr>
              <w:snapToGrid w:val="0"/>
              <w:jc w:val="center"/>
              <w:rPr>
                <w:rFonts w:hint="default"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18</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lang w:eastAsia="zh-CN"/>
              </w:rPr>
            </w:pPr>
            <w:r>
              <w:rPr>
                <w:rFonts w:hint="eastAsia" w:ascii="Times New Roman" w:eastAsia="宋体"/>
                <w:color w:val="000000"/>
                <w:szCs w:val="21"/>
              </w:rPr>
              <w:t>6.</w:t>
            </w:r>
            <w:r>
              <w:rPr>
                <w:rFonts w:ascii="Times New Roman" w:eastAsia="宋体"/>
                <w:color w:val="000000"/>
                <w:szCs w:val="21"/>
              </w:rPr>
              <w:t>8.</w:t>
            </w:r>
            <w:r>
              <w:rPr>
                <w:rFonts w:hint="eastAsia" w:ascii="Times New Roman" w:eastAsia="宋体"/>
                <w:color w:val="000000"/>
                <w:szCs w:val="21"/>
                <w:lang w:val="en-US" w:eastAsia="zh-CN"/>
              </w:rPr>
              <w:t>3</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新增pH检测方法</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704" w:type="dxa"/>
            <w:noWrap w:val="0"/>
            <w:vAlign w:val="center"/>
          </w:tcPr>
          <w:p>
            <w:pPr>
              <w:snapToGrid w:val="0"/>
              <w:jc w:val="center"/>
              <w:rPr>
                <w:rFonts w:hint="default"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19</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lang w:eastAsia="zh-CN"/>
              </w:rPr>
            </w:pPr>
            <w:r>
              <w:rPr>
                <w:rFonts w:hint="eastAsia" w:ascii="Times New Roman" w:eastAsia="宋体"/>
                <w:color w:val="000000"/>
                <w:szCs w:val="21"/>
              </w:rPr>
              <w:t>6</w:t>
            </w:r>
            <w:r>
              <w:rPr>
                <w:rFonts w:ascii="Times New Roman" w:eastAsia="宋体"/>
                <w:color w:val="000000"/>
                <w:szCs w:val="21"/>
              </w:rPr>
              <w:t>.8.</w:t>
            </w:r>
            <w:r>
              <w:rPr>
                <w:rFonts w:hint="eastAsia" w:ascii="Times New Roman" w:eastAsia="宋体"/>
                <w:color w:val="000000"/>
                <w:szCs w:val="21"/>
                <w:lang w:val="en-US" w:eastAsia="zh-CN"/>
              </w:rPr>
              <w:t>4</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新增游离性余氯检测方法</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5" w:hRule="atLeast"/>
          <w:jc w:val="center"/>
        </w:trPr>
        <w:tc>
          <w:tcPr>
            <w:tcW w:w="704" w:type="dxa"/>
            <w:noWrap w:val="0"/>
            <w:vAlign w:val="center"/>
          </w:tcPr>
          <w:p>
            <w:pPr>
              <w:snapToGrid w:val="0"/>
              <w:jc w:val="center"/>
              <w:rPr>
                <w:rFonts w:hint="default" w:ascii="Times New Roman" w:hAnsi="Times New Roman" w:eastAsia="宋体"/>
                <w:color w:val="000000"/>
                <w:szCs w:val="21"/>
                <w:lang w:val="en-US" w:eastAsia="zh-CN"/>
              </w:rPr>
            </w:pPr>
            <w:r>
              <w:rPr>
                <w:rFonts w:hint="eastAsia" w:ascii="Times New Roman" w:hAnsi="Times New Roman" w:eastAsia="宋体"/>
                <w:color w:val="000000"/>
                <w:szCs w:val="21"/>
                <w:lang w:val="en-US" w:eastAsia="zh-CN"/>
              </w:rPr>
              <w:t>20</w:t>
            </w:r>
          </w:p>
        </w:tc>
        <w:tc>
          <w:tcPr>
            <w:tcW w:w="1254" w:type="dxa"/>
            <w:noWrap w:val="0"/>
            <w:vAlign w:val="center"/>
          </w:tcPr>
          <w:p>
            <w:pPr>
              <w:pStyle w:val="23"/>
              <w:autoSpaceDN w:val="0"/>
              <w:spacing w:before="240" w:after="240" w:line="360" w:lineRule="auto"/>
              <w:jc w:val="center"/>
              <w:rPr>
                <w:rFonts w:hint="eastAsia" w:ascii="Times New Roman" w:eastAsia="宋体"/>
                <w:color w:val="000000"/>
                <w:szCs w:val="21"/>
              </w:rPr>
            </w:pPr>
            <w:r>
              <w:rPr>
                <w:rFonts w:hint="eastAsia" w:ascii="Times New Roman" w:eastAsia="宋体"/>
                <w:color w:val="000000"/>
                <w:szCs w:val="21"/>
              </w:rPr>
              <w:t>7</w:t>
            </w:r>
          </w:p>
        </w:tc>
        <w:tc>
          <w:tcPr>
            <w:tcW w:w="2878" w:type="dxa"/>
            <w:noWrap w:val="0"/>
            <w:vAlign w:val="center"/>
          </w:tcPr>
          <w:p>
            <w:pPr>
              <w:spacing w:line="360" w:lineRule="auto"/>
              <w:jc w:val="center"/>
              <w:rPr>
                <w:rFonts w:hint="eastAsia" w:ascii="Times New Roman" w:hAnsi="Times New Roman" w:eastAsia="宋体"/>
                <w:color w:val="000000"/>
                <w:kern w:val="0"/>
                <w:szCs w:val="21"/>
              </w:rPr>
            </w:pPr>
            <w:r>
              <w:rPr>
                <w:rFonts w:hint="eastAsia" w:ascii="Times New Roman" w:hAnsi="Times New Roman" w:eastAsia="宋体"/>
                <w:color w:val="000000"/>
                <w:kern w:val="0"/>
                <w:szCs w:val="21"/>
              </w:rPr>
              <w:t>新增证实方法</w:t>
            </w:r>
          </w:p>
        </w:tc>
        <w:tc>
          <w:tcPr>
            <w:tcW w:w="1513"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专家组</w:t>
            </w:r>
          </w:p>
        </w:tc>
        <w:tc>
          <w:tcPr>
            <w:tcW w:w="2006" w:type="dxa"/>
            <w:noWrap w:val="0"/>
            <w:vAlign w:val="center"/>
          </w:tcPr>
          <w:p>
            <w:pPr>
              <w:snapToGrid w:val="0"/>
              <w:jc w:val="center"/>
              <w:rPr>
                <w:rFonts w:ascii="Times New Roman" w:hAnsi="Times New Roman" w:eastAsia="宋体"/>
                <w:color w:val="000000"/>
                <w:kern w:val="0"/>
                <w:szCs w:val="21"/>
              </w:rPr>
            </w:pPr>
            <w:r>
              <w:rPr>
                <w:rFonts w:ascii="Times New Roman" w:hAnsi="Times New Roman" w:eastAsia="宋体"/>
                <w:color w:val="000000"/>
                <w:kern w:val="0"/>
                <w:szCs w:val="21"/>
              </w:rPr>
              <w:t>采纳</w:t>
            </w:r>
          </w:p>
        </w:tc>
        <w:tc>
          <w:tcPr>
            <w:tcW w:w="1199" w:type="dxa"/>
            <w:noWrap w:val="0"/>
            <w:vAlign w:val="center"/>
          </w:tcPr>
          <w:p>
            <w:pPr>
              <w:snapToGrid w:val="0"/>
              <w:jc w:val="center"/>
              <w:rPr>
                <w:rFonts w:ascii="Times New Roman" w:hAnsi="Times New Roman" w:eastAsia="宋体"/>
                <w:color w:val="000000"/>
                <w:szCs w:val="21"/>
              </w:rPr>
            </w:pPr>
          </w:p>
        </w:tc>
      </w:tr>
    </w:tbl>
    <w:p>
      <w:pPr>
        <w:snapToGrid w:val="0"/>
        <w:spacing w:line="360" w:lineRule="auto"/>
        <w:rPr>
          <w:rFonts w:hint="eastAsia" w:ascii="Times New Roman" w:hAnsi="Times New Roman" w:eastAsia="仿宋_GB2312"/>
          <w:bCs/>
          <w:color w:val="000000"/>
          <w:sz w:val="32"/>
          <w:szCs w:val="32"/>
        </w:rPr>
      </w:pPr>
      <w:r>
        <w:rPr>
          <w:rFonts w:hint="eastAsia" w:ascii="Times New Roman" w:hAnsi="Times New Roman" w:eastAsia="仿宋_GB2312"/>
          <w:bCs/>
          <w:color w:val="000000"/>
          <w:sz w:val="32"/>
          <w:szCs w:val="32"/>
        </w:rPr>
        <w:t>注:提出</w:t>
      </w:r>
      <w:r>
        <w:rPr>
          <w:rFonts w:ascii="Times New Roman" w:hAnsi="Times New Roman" w:eastAsia="仿宋_GB2312"/>
          <w:bCs/>
          <w:color w:val="000000"/>
          <w:sz w:val="32"/>
          <w:szCs w:val="32"/>
        </w:rPr>
        <w:t>单位为专家组。</w:t>
      </w:r>
    </w:p>
    <w:p>
      <w:pPr>
        <w:rPr>
          <w:rFonts w:hint="default"/>
          <w:lang w:val="en-US" w:eastAsia="zh-CN"/>
        </w:rPr>
      </w:pPr>
      <w:r>
        <w:rPr>
          <w:rFonts w:hint="default"/>
          <w:lang w:val="en-US" w:eastAsia="zh-CN"/>
        </w:rPr>
        <w:br w:type="page"/>
      </w:r>
    </w:p>
    <w:p>
      <w:pPr>
        <w:pStyle w:val="2"/>
        <w:jc w:val="left"/>
        <w:rPr>
          <w:rFonts w:hint="eastAsia" w:ascii="微软雅黑" w:hAnsi="微软雅黑" w:eastAsia="微软雅黑" w:cs="微软雅黑"/>
          <w:b w:val="0"/>
          <w:bCs w:val="0"/>
        </w:rPr>
        <w:sectPr>
          <w:pgSz w:w="11906" w:h="16838"/>
          <w:pgMar w:top="1440" w:right="1797" w:bottom="1440" w:left="1797" w:header="851" w:footer="992" w:gutter="0"/>
          <w:cols w:space="425" w:num="1"/>
          <w:docGrid w:type="linesAndChars" w:linePitch="312" w:charSpace="0"/>
        </w:sectPr>
      </w:pPr>
    </w:p>
    <w:p>
      <w:pPr>
        <w:pStyle w:val="2"/>
        <w:jc w:val="left"/>
        <w:rPr>
          <w:rFonts w:hint="eastAsia" w:ascii="微软雅黑" w:hAnsi="微软雅黑" w:eastAsia="微软雅黑" w:cs="微软雅黑"/>
          <w:b w:val="0"/>
          <w:bCs w:val="0"/>
          <w:color w:val="auto"/>
          <w:lang w:val="en-US" w:eastAsia="zh-CN"/>
        </w:rPr>
      </w:pPr>
      <w:r>
        <w:rPr>
          <w:rFonts w:hint="eastAsia" w:ascii="微软雅黑" w:hAnsi="微软雅黑" w:eastAsia="微软雅黑" w:cs="微软雅黑"/>
          <w:b w:val="0"/>
          <w:bCs w:val="0"/>
        </w:rPr>
        <w:t>附</w:t>
      </w:r>
      <w:r>
        <w:rPr>
          <w:rFonts w:hint="eastAsia" w:ascii="微软雅黑" w:hAnsi="微软雅黑" w:eastAsia="微软雅黑" w:cs="微软雅黑"/>
          <w:b w:val="0"/>
          <w:bCs w:val="0"/>
          <w:lang w:val="en-US" w:eastAsia="zh-CN"/>
        </w:rPr>
        <w:t>件3</w:t>
      </w:r>
    </w:p>
    <w:p>
      <w:pPr>
        <w:pStyle w:val="2"/>
        <w:jc w:val="center"/>
        <w:rPr>
          <w:rFonts w:ascii="微软雅黑" w:hAnsi="微软雅黑" w:eastAsia="微软雅黑" w:cs="微软雅黑"/>
          <w:b w:val="0"/>
          <w:bCs w:val="0"/>
          <w:color w:val="auto"/>
          <w:sz w:val="21"/>
          <w:szCs w:val="21"/>
        </w:rPr>
      </w:pPr>
      <w:r>
        <w:rPr>
          <w:rFonts w:hint="eastAsia" w:ascii="微软雅黑" w:hAnsi="微软雅黑" w:eastAsia="微软雅黑" w:cs="微软雅黑"/>
          <w:b w:val="0"/>
          <w:bCs w:val="0"/>
          <w:color w:val="auto"/>
          <w:lang w:val="en-US" w:eastAsia="zh-CN"/>
        </w:rPr>
        <w:t>定向征求</w:t>
      </w:r>
      <w:r>
        <w:rPr>
          <w:rFonts w:hint="eastAsia" w:ascii="微软雅黑" w:hAnsi="微软雅黑" w:eastAsia="微软雅黑" w:cs="微软雅黑"/>
          <w:b w:val="0"/>
          <w:bCs w:val="0"/>
          <w:color w:val="auto"/>
        </w:rPr>
        <w:t>意见汇总处理表</w:t>
      </w:r>
    </w:p>
    <w:p>
      <w:pPr>
        <w:jc w:val="center"/>
        <w:rPr>
          <w:rFonts w:ascii="华文中宋" w:hAnsi="华文中宋" w:eastAsia="华文中宋"/>
          <w:b/>
          <w:color w:val="auto"/>
          <w:sz w:val="36"/>
          <w:szCs w:val="36"/>
        </w:rPr>
      </w:pPr>
    </w:p>
    <w:p>
      <w:pPr>
        <w:spacing w:line="360" w:lineRule="auto"/>
        <w:jc w:val="left"/>
        <w:rPr>
          <w:rFonts w:ascii="仿宋" w:hAnsi="仿宋" w:eastAsia="仿宋" w:cs="仿宋"/>
          <w:b/>
          <w:bCs/>
          <w:color w:val="auto"/>
          <w:sz w:val="24"/>
          <w:szCs w:val="24"/>
        </w:rPr>
      </w:pPr>
      <w:r>
        <w:rPr>
          <w:rFonts w:hint="eastAsia" w:ascii="仿宋" w:hAnsi="仿宋" w:eastAsia="仿宋" w:cs="仿宋"/>
          <w:b/>
          <w:bCs/>
          <w:color w:val="auto"/>
          <w:sz w:val="24"/>
          <w:szCs w:val="24"/>
        </w:rPr>
        <w:t>标准项目名称：</w:t>
      </w:r>
      <w:r>
        <w:rPr>
          <w:rFonts w:hint="eastAsia" w:ascii="仿宋" w:hAnsi="仿宋" w:eastAsia="仿宋" w:cs="仿宋"/>
          <w:b/>
          <w:bCs/>
          <w:color w:val="auto"/>
          <w:sz w:val="24"/>
          <w:szCs w:val="24"/>
          <w:u w:val="single"/>
        </w:rPr>
        <w:t xml:space="preserve">牧场挤奶及贮奶设备清洗消毒技术规范     </w:t>
      </w:r>
      <w:r>
        <w:rPr>
          <w:rFonts w:hint="eastAsia" w:ascii="仿宋" w:hAnsi="仿宋" w:eastAsia="仿宋" w:cs="仿宋"/>
          <w:b/>
          <w:bCs/>
          <w:color w:val="auto"/>
          <w:sz w:val="24"/>
          <w:szCs w:val="24"/>
        </w:rPr>
        <w:t xml:space="preserve">                                                  共11页   </w:t>
      </w:r>
    </w:p>
    <w:p>
      <w:pPr>
        <w:spacing w:line="360" w:lineRule="auto"/>
        <w:ind w:left="11565" w:hanging="11520" w:hangingChars="4800"/>
        <w:jc w:val="left"/>
        <w:rPr>
          <w:rFonts w:ascii="Times New Roman" w:hAnsi="Times New Roman" w:eastAsia="仿宋_GB2312"/>
          <w:color w:val="auto"/>
          <w:sz w:val="36"/>
          <w:szCs w:val="36"/>
        </w:rPr>
      </w:pPr>
      <w:r>
        <w:rPr>
          <w:rFonts w:hint="eastAsia" w:ascii="仿宋" w:hAnsi="仿宋" w:eastAsia="仿宋" w:cs="仿宋"/>
          <w:b/>
          <w:bCs/>
          <w:color w:val="auto"/>
          <w:sz w:val="24"/>
          <w:szCs w:val="24"/>
        </w:rPr>
        <w:t>标准起草单位：</w:t>
      </w:r>
      <w:r>
        <w:rPr>
          <w:rFonts w:hint="eastAsia" w:ascii="仿宋" w:hAnsi="仿宋" w:eastAsia="仿宋" w:cs="仿宋"/>
          <w:b/>
          <w:bCs/>
          <w:color w:val="auto"/>
          <w:sz w:val="24"/>
          <w:szCs w:val="24"/>
          <w:u w:val="single"/>
        </w:rPr>
        <w:t>农业部食品质量监督检验测试中心（上海）、上海市农产品质量安全中心</w:t>
      </w:r>
      <w:r>
        <w:rPr>
          <w:rFonts w:hint="eastAsia" w:ascii="仿宋" w:hAnsi="仿宋" w:eastAsia="仿宋" w:cs="仿宋"/>
          <w:b/>
          <w:bCs/>
          <w:color w:val="auto"/>
          <w:sz w:val="24"/>
          <w:szCs w:val="24"/>
          <w:u w:val="single"/>
          <w:lang w:eastAsia="zh-CN"/>
        </w:rPr>
        <w:t>、</w:t>
      </w:r>
      <w:r>
        <w:rPr>
          <w:rFonts w:hint="eastAsia" w:ascii="仿宋" w:hAnsi="仿宋" w:eastAsia="仿宋" w:cs="仿宋"/>
          <w:b/>
          <w:bCs/>
          <w:color w:val="auto"/>
          <w:sz w:val="24"/>
          <w:szCs w:val="24"/>
          <w:u w:val="single"/>
        </w:rPr>
        <w:t>光明乳业股份有限公司</w:t>
      </w:r>
      <w:r>
        <w:rPr>
          <w:rFonts w:hint="eastAsia" w:ascii="仿宋" w:hAnsi="仿宋" w:eastAsia="仿宋" w:cs="仿宋"/>
          <w:b/>
          <w:bCs/>
          <w:color w:val="auto"/>
          <w:sz w:val="24"/>
          <w:szCs w:val="24"/>
        </w:rPr>
        <w:t xml:space="preserve">  </w:t>
      </w:r>
      <w:r>
        <w:rPr>
          <w:rFonts w:hint="eastAsia" w:ascii="仿宋" w:hAnsi="仿宋" w:eastAsia="仿宋" w:cs="仿宋"/>
          <w:b/>
          <w:bCs/>
          <w:color w:val="auto"/>
          <w:sz w:val="28"/>
          <w:szCs w:val="28"/>
        </w:rPr>
        <w:t xml:space="preserve">    </w:t>
      </w:r>
      <w:r>
        <w:rPr>
          <w:rFonts w:hint="eastAsia" w:ascii="仿宋" w:hAnsi="仿宋" w:eastAsia="仿宋" w:cs="仿宋"/>
          <w:b/>
          <w:bCs/>
          <w:color w:val="auto"/>
          <w:sz w:val="24"/>
          <w:szCs w:val="24"/>
        </w:rPr>
        <w:t xml:space="preserve">                 2022年10月25日填</w:t>
      </w:r>
    </w:p>
    <w:tbl>
      <w:tblPr>
        <w:tblStyle w:val="8"/>
        <w:tblW w:w="139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5"/>
        <w:gridCol w:w="1440"/>
        <w:gridCol w:w="3960"/>
        <w:gridCol w:w="3975"/>
        <w:gridCol w:w="1470"/>
        <w:gridCol w:w="22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jc w:val="center"/>
        </w:trPr>
        <w:tc>
          <w:tcPr>
            <w:tcW w:w="845" w:type="dxa"/>
            <w:vAlign w:val="center"/>
          </w:tcPr>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序号</w:t>
            </w:r>
          </w:p>
        </w:tc>
        <w:tc>
          <w:tcPr>
            <w:tcW w:w="1440" w:type="dxa"/>
            <w:shd w:val="clear" w:color="auto" w:fill="auto"/>
            <w:vAlign w:val="center"/>
          </w:tcPr>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标准章条</w:t>
            </w:r>
          </w:p>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编号</w:t>
            </w:r>
          </w:p>
        </w:tc>
        <w:tc>
          <w:tcPr>
            <w:tcW w:w="3960" w:type="dxa"/>
            <w:shd w:val="clear" w:color="auto" w:fill="auto"/>
            <w:vAlign w:val="center"/>
          </w:tcPr>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意见内容</w:t>
            </w:r>
          </w:p>
        </w:tc>
        <w:tc>
          <w:tcPr>
            <w:tcW w:w="3975" w:type="dxa"/>
            <w:shd w:val="clear" w:color="auto" w:fill="auto"/>
            <w:vAlign w:val="center"/>
          </w:tcPr>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提出单位</w:t>
            </w:r>
          </w:p>
          <w:p>
            <w:pPr>
              <w:snapToGrid w:val="0"/>
              <w:jc w:val="center"/>
              <w:rPr>
                <w:rFonts w:ascii="Times New Roman" w:hAnsi="Times New Roman" w:eastAsia="仿宋_GB2312"/>
                <w:b/>
                <w:color w:val="auto"/>
                <w:sz w:val="16"/>
                <w:szCs w:val="16"/>
              </w:rPr>
            </w:pPr>
            <w:r>
              <w:rPr>
                <w:rFonts w:ascii="Times New Roman" w:hAnsi="Times New Roman" w:eastAsia="仿宋_GB2312"/>
                <w:b/>
                <w:color w:val="auto"/>
                <w:sz w:val="16"/>
                <w:szCs w:val="16"/>
              </w:rPr>
              <w:t>（单位及专家）</w:t>
            </w:r>
          </w:p>
        </w:tc>
        <w:tc>
          <w:tcPr>
            <w:tcW w:w="1470" w:type="dxa"/>
            <w:shd w:val="clear" w:color="auto" w:fill="auto"/>
            <w:vAlign w:val="center"/>
          </w:tcPr>
          <w:p>
            <w:pPr>
              <w:snapToGrid w:val="0"/>
              <w:jc w:val="center"/>
              <w:rPr>
                <w:rFonts w:ascii="Times New Roman" w:hAnsi="Times New Roman" w:eastAsia="仿宋_GB2312"/>
                <w:b/>
                <w:color w:val="auto"/>
                <w:sz w:val="22"/>
                <w:szCs w:val="21"/>
              </w:rPr>
            </w:pPr>
            <w:r>
              <w:rPr>
                <w:rFonts w:ascii="Times New Roman" w:hAnsi="Times New Roman" w:eastAsia="仿宋_GB2312"/>
                <w:b/>
                <w:color w:val="auto"/>
                <w:sz w:val="22"/>
                <w:szCs w:val="21"/>
              </w:rPr>
              <w:t>处理意见</w:t>
            </w:r>
          </w:p>
        </w:tc>
        <w:tc>
          <w:tcPr>
            <w:tcW w:w="2254" w:type="dxa"/>
            <w:shd w:val="clear" w:color="auto" w:fill="auto"/>
            <w:vAlign w:val="center"/>
          </w:tcPr>
          <w:p>
            <w:pPr>
              <w:snapToGrid w:val="0"/>
              <w:jc w:val="center"/>
              <w:rPr>
                <w:rFonts w:ascii="Times New Roman" w:hAnsi="Times New Roman" w:eastAsia="仿宋_GB2312"/>
                <w:b/>
                <w:color w:val="auto"/>
                <w:sz w:val="22"/>
                <w:szCs w:val="21"/>
              </w:rPr>
            </w:pPr>
            <w:r>
              <w:rPr>
                <w:rFonts w:hint="eastAsia" w:ascii="Times New Roman" w:hAnsi="Times New Roman" w:eastAsia="仿宋_GB2312"/>
                <w:b/>
                <w:color w:val="auto"/>
                <w:sz w:val="22"/>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封面</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依据GB/T1.1中3.1，“Standards”改为“Technical specification”。</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 xml:space="preserve">农业部乳品质量监督检验测试中心 </w:t>
            </w:r>
          </w:p>
          <w:p>
            <w:pPr>
              <w:jc w:val="center"/>
              <w:rPr>
                <w:rFonts w:ascii="Times New Roman" w:hAnsi="Times New Roman" w:eastAsia="宋体"/>
                <w:color w:val="auto"/>
                <w:szCs w:val="21"/>
              </w:rPr>
            </w:pPr>
            <w:r>
              <w:rPr>
                <w:rFonts w:ascii="Times New Roman" w:hAnsi="Times New Roman" w:eastAsia="宋体"/>
                <w:color w:val="auto"/>
                <w:szCs w:val="21"/>
              </w:rPr>
              <w:t>张宗城</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题目</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“牧场”应改为 “奶牛场”</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唐山市畜牧水产品质量监测中心 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标准名称为立项时确定，经标准评审后再确定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前言</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按照GB/T1.1中的要求，标准编制的依据要提及GB/T1.1。建议在第1句增加：本标准按照GB/T1.1给出的规则起草。</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w:t>
            </w:r>
          </w:p>
          <w:p>
            <w:pPr>
              <w:jc w:val="center"/>
              <w:rPr>
                <w:rFonts w:ascii="Times New Roman" w:hAnsi="Times New Roman" w:eastAsia="宋体"/>
                <w:color w:val="auto"/>
                <w:szCs w:val="21"/>
              </w:rPr>
            </w:pPr>
            <w:r>
              <w:rPr>
                <w:rFonts w:ascii="Times New Roman" w:hAnsi="Times New Roman" w:eastAsia="宋体"/>
                <w:color w:val="auto"/>
                <w:szCs w:val="21"/>
              </w:rPr>
              <w:t>（济南）柳琪</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snapToGrid w:val="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前言</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依据GB/T1.1中6.1.3，加入起草规则及标委会编号。</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 xml:space="preserve">农业部乳品质量监督检验测试中心 </w:t>
            </w:r>
          </w:p>
          <w:p>
            <w:pPr>
              <w:jc w:val="center"/>
              <w:rPr>
                <w:rFonts w:ascii="Times New Roman" w:hAnsi="Times New Roman" w:eastAsia="宋体"/>
                <w:color w:val="auto"/>
                <w:szCs w:val="21"/>
              </w:rPr>
            </w:pPr>
            <w:r>
              <w:rPr>
                <w:rFonts w:ascii="Times New Roman" w:hAnsi="Times New Roman" w:eastAsia="宋体"/>
                <w:color w:val="auto"/>
                <w:szCs w:val="21"/>
              </w:rPr>
              <w:t>张宗城</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snapToGrid w:val="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前言；</w:t>
            </w:r>
          </w:p>
          <w:p>
            <w:pPr>
              <w:jc w:val="center"/>
              <w:rPr>
                <w:rFonts w:ascii="Times New Roman" w:hAnsi="Times New Roman" w:eastAsia="宋体"/>
                <w:color w:val="auto"/>
                <w:szCs w:val="21"/>
              </w:rPr>
            </w:pPr>
            <w:r>
              <w:rPr>
                <w:rFonts w:ascii="Times New Roman" w:hAnsi="Times New Roman" w:eastAsia="宋体"/>
                <w:color w:val="auto"/>
                <w:szCs w:val="21"/>
              </w:rPr>
              <w:t>1；2；3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前言提到5次“本标准”，1范围提到2次“本文件”，2规范性引用文件提到3次“本文件”，3术语和定义提到1次“本文件”。建议统一用“本标准”。</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第二、第三章引言是GB/T 1.1规定的固定用法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书写不规范，建议修改为：本规范规定了各类牧场挤奶及贮奶设备的清洗消毒。</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农业部食品质量监督检验测试中心（济南）柳琪</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7</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本文件适用于各类奶牛养殖场应改为本文件适用于各类奶牛养殖场挤奶及贮奶设备的清洗和消毒。</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北京奶牛中心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韩广文</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8</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本文件修改为“本标准”。本文件适用于各类奶牛养殖场。建议修改为“本标准适用于各类奶牛养殖场的挤奶及贮奶设备清洗消毒。”，能否将奶羊养殖场纳入？</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国家乳业工程技术研究中心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杨金宝</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在标准范围内修改为“各类奶畜养殖场的挤奶及贮奶设备清洗消毒”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9</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2</w:t>
            </w:r>
          </w:p>
        </w:tc>
        <w:tc>
          <w:tcPr>
            <w:tcW w:w="3960" w:type="dxa"/>
            <w:shd w:val="clear" w:color="auto" w:fill="auto"/>
            <w:vAlign w:val="center"/>
          </w:tcPr>
          <w:p>
            <w:pPr>
              <w:numPr>
                <w:ilvl w:val="0"/>
                <w:numId w:val="1"/>
              </w:numPr>
              <w:rPr>
                <w:rFonts w:ascii="Times New Roman" w:hAnsi="Times New Roman" w:eastAsia="宋体"/>
                <w:color w:val="auto"/>
                <w:szCs w:val="21"/>
              </w:rPr>
            </w:pPr>
            <w:r>
              <w:rPr>
                <w:rFonts w:ascii="Times New Roman" w:hAnsi="Times New Roman" w:eastAsia="宋体"/>
                <w:color w:val="auto"/>
                <w:szCs w:val="21"/>
              </w:rPr>
              <w:t>字体应为宋体。“饮用水卫生标准”应为“生活饮用水卫生标准”。</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农业部乳品质量监督检验测试中心（哈尔滨）李琴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10</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GB 4789.2的标准名称应在“食品安全国家标准”与“食品微生物学检验”后均增加空格</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黑龙江省农垦乳品检测中心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韩秋红</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11</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2规范性引用文件：应用是必不可少的。凡是注日期的应用文件，</w:t>
            </w:r>
          </w:p>
          <w:p>
            <w:pPr>
              <w:rPr>
                <w:rFonts w:ascii="Times New Roman" w:hAnsi="Times New Roman" w:eastAsia="宋体"/>
                <w:color w:val="auto"/>
                <w:szCs w:val="21"/>
              </w:rPr>
            </w:pPr>
            <w:r>
              <w:rPr>
                <w:rFonts w:ascii="Times New Roman" w:hAnsi="Times New Roman" w:eastAsia="宋体"/>
                <w:color w:val="auto"/>
                <w:szCs w:val="21"/>
              </w:rPr>
              <w:t>字打印错误，“应用”应为“引用”。</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12</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依据GB/T20001.1-2001中5.2.5.4，定义部分不用“指”等，不写原因、效果等。术语应有英文译名。</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 xml:space="preserve">农业部乳品质量监督检验测试中心 </w:t>
            </w:r>
          </w:p>
          <w:p>
            <w:pPr>
              <w:jc w:val="center"/>
              <w:rPr>
                <w:rFonts w:ascii="Times New Roman" w:hAnsi="Times New Roman" w:eastAsia="宋体"/>
                <w:color w:val="auto"/>
                <w:szCs w:val="21"/>
              </w:rPr>
            </w:pPr>
            <w:r>
              <w:rPr>
                <w:rFonts w:ascii="Times New Roman" w:hAnsi="Times New Roman" w:eastAsia="宋体"/>
                <w:color w:val="auto"/>
                <w:szCs w:val="21"/>
              </w:rPr>
              <w:t>张宗城</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13</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依据GB/T1.1中5.1.4规定，条标题就置于编号之后。</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农业部乳品质量监督检验测试中心（哈尔滨）李琴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14</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从业者对术语和定义的内容较为熟悉，建议删除</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唐山市畜牧水产品质量监测中心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未采纳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便于更好理解和使用标准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15</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“鲜乳”改为“生乳”</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农业部乳品质量监督检验测试中心（哈尔滨）李琴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16</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用水或化学物质（清洗剂）清除物体表面污垢的方法。</w:t>
            </w:r>
          </w:p>
        </w:tc>
        <w:tc>
          <w:tcPr>
            <w:tcW w:w="3975" w:type="dxa"/>
            <w:shd w:val="clear" w:color="auto" w:fill="auto"/>
            <w:vAlign w:val="center"/>
          </w:tcPr>
          <w:p>
            <w:pPr>
              <w:jc w:val="center"/>
              <w:rPr>
                <w:rFonts w:hint="eastAsia" w:ascii="Times New Roman" w:hAnsi="Times New Roman" w:eastAsia="宋体"/>
                <w:color w:val="auto"/>
                <w:szCs w:val="21"/>
                <w:lang w:val="en-US" w:eastAsia="zh-CN"/>
              </w:rPr>
            </w:pPr>
            <w:r>
              <w:rPr>
                <w:rFonts w:ascii="Times New Roman" w:hAnsi="Times New Roman" w:eastAsia="宋体"/>
                <w:color w:val="auto"/>
                <w:szCs w:val="21"/>
              </w:rPr>
              <w:t>农业农村部乳品质量监督检验测试中</w:t>
            </w:r>
            <w:r>
              <w:rPr>
                <w:rFonts w:hint="eastAsia" w:ascii="Times New Roman" w:hAnsi="Times New Roman" w:eastAsia="宋体"/>
                <w:color w:val="auto"/>
                <w:szCs w:val="21"/>
                <w:lang w:val="en-US" w:eastAsia="zh-CN"/>
              </w:rPr>
              <w:t>心</w:t>
            </w:r>
          </w:p>
          <w:p>
            <w:pPr>
              <w:jc w:val="center"/>
              <w:rPr>
                <w:rFonts w:ascii="Times New Roman" w:hAnsi="Times New Roman" w:eastAsia="宋体"/>
                <w:color w:val="auto"/>
                <w:szCs w:val="21"/>
              </w:rPr>
            </w:pPr>
            <w:r>
              <w:rPr>
                <w:rFonts w:ascii="Times New Roman" w:hAnsi="Times New Roman" w:eastAsia="宋体"/>
                <w:color w:val="auto"/>
                <w:szCs w:val="21"/>
              </w:rPr>
              <w:t>刘  壮</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17</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“用水或化学物质清除物体表面污垢的方法”中“方法”修改为“过程”；</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内蒙古优然牧业有限责任公司王典</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18</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3.4</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“杀灭或清除传播媒介上病原微生物”中“或”修改为“并”；</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内蒙古优然牧业有限责任公司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王典</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19</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3.5</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“直接用于洗涤或消毒挤奶或贮奶工具设备和容器的物质”去掉“洗涤或”；</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内蒙古优然牧业有限责任公司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王典</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20</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4贮奶设备材料的要求</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“贮奶设备的材料必须符合不锈钢食具容器卫生标准（GB 9684-88）”中“必须”应为“应”。建议修改为：“贮奶设备的材料应符合GB 9684的要求”。</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农业部食品质量监督检验测试中心（济南）柳琪</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21</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4.1.1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“需用不低于77℃的热水清洗消毒至少5 min”去掉“消毒”；</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内蒙古优然牧业有限责任公司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王典</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22</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4.1.2</w:t>
            </w:r>
          </w:p>
        </w:tc>
        <w:tc>
          <w:tcPr>
            <w:tcW w:w="3960" w:type="dxa"/>
            <w:shd w:val="clear" w:color="auto" w:fill="auto"/>
            <w:vAlign w:val="center"/>
          </w:tcPr>
          <w:p>
            <w:pPr>
              <w:pStyle w:val="19"/>
              <w:ind w:firstLine="0" w:firstLineChars="0"/>
              <w:rPr>
                <w:rFonts w:ascii="Times New Roman" w:hAnsi="Times New Roman" w:eastAsia="宋体"/>
                <w:color w:val="auto"/>
                <w:szCs w:val="21"/>
              </w:rPr>
            </w:pPr>
            <w:r>
              <w:rPr>
                <w:rFonts w:ascii="Times New Roman" w:hAnsi="Times New Roman" w:eastAsia="宋体"/>
                <w:color w:val="auto"/>
                <w:szCs w:val="21"/>
              </w:rPr>
              <w:t>用于处理、贮藏生乳的容器、用具和器械清洗消毒后应妥善存放，完全沥干水分，并避免受到污染。</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农业农村部乳品质量监督检验测试中</w:t>
            </w:r>
            <w:r>
              <w:rPr>
                <w:rFonts w:hint="eastAsia" w:ascii="Times New Roman" w:hAnsi="Times New Roman" w:eastAsia="宋体"/>
                <w:color w:val="auto"/>
                <w:szCs w:val="21"/>
                <w:lang w:val="en-US" w:eastAsia="zh-CN"/>
              </w:rPr>
              <w:t>心</w:t>
            </w:r>
            <w:r>
              <w:rPr>
                <w:rFonts w:ascii="Times New Roman" w:hAnsi="Times New Roman" w:eastAsia="宋体"/>
                <w:color w:val="auto"/>
                <w:szCs w:val="21"/>
              </w:rPr>
              <w:t>刘  壮</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23</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4.3.2</w:t>
            </w:r>
          </w:p>
        </w:tc>
        <w:tc>
          <w:tcPr>
            <w:tcW w:w="3960" w:type="dxa"/>
            <w:shd w:val="clear" w:color="auto" w:fill="auto"/>
            <w:vAlign w:val="center"/>
          </w:tcPr>
          <w:p>
            <w:pPr>
              <w:pStyle w:val="19"/>
              <w:ind w:firstLine="0" w:firstLineChars="0"/>
              <w:rPr>
                <w:rFonts w:ascii="Times New Roman" w:hAnsi="Times New Roman" w:eastAsia="宋体"/>
                <w:color w:val="auto"/>
                <w:szCs w:val="21"/>
              </w:rPr>
            </w:pPr>
            <w:r>
              <w:rPr>
                <w:rFonts w:ascii="Times New Roman" w:hAnsi="Times New Roman" w:eastAsia="宋体"/>
                <w:color w:val="auto"/>
                <w:szCs w:val="21"/>
              </w:rPr>
              <w:t>清洗剂、消毒剂</w:t>
            </w:r>
          </w:p>
        </w:tc>
        <w:tc>
          <w:tcPr>
            <w:tcW w:w="3975" w:type="dxa"/>
            <w:shd w:val="clear" w:color="auto" w:fill="auto"/>
            <w:vAlign w:val="center"/>
          </w:tcPr>
          <w:p>
            <w:pPr>
              <w:pStyle w:val="19"/>
              <w:ind w:firstLine="0" w:firstLineChars="0"/>
              <w:jc w:val="center"/>
              <w:rPr>
                <w:rFonts w:hint="eastAsia" w:ascii="Times New Roman" w:hAnsi="Times New Roman" w:eastAsia="宋体"/>
                <w:color w:val="auto"/>
                <w:szCs w:val="21"/>
                <w:lang w:val="en-US" w:eastAsia="zh-CN"/>
              </w:rPr>
            </w:pPr>
            <w:r>
              <w:rPr>
                <w:rFonts w:ascii="Times New Roman" w:hAnsi="Times New Roman" w:eastAsia="宋体"/>
                <w:color w:val="auto"/>
                <w:szCs w:val="21"/>
              </w:rPr>
              <w:t>农业农村部乳品质量监督检验测试中</w:t>
            </w:r>
            <w:r>
              <w:rPr>
                <w:rFonts w:hint="eastAsia" w:ascii="Times New Roman" w:hAnsi="Times New Roman" w:eastAsia="宋体"/>
                <w:color w:val="auto"/>
                <w:szCs w:val="21"/>
                <w:lang w:val="en-US" w:eastAsia="zh-CN"/>
              </w:rPr>
              <w:t>心</w:t>
            </w:r>
          </w:p>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刘  壮</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24</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numPr>
                <w:ilvl w:val="0"/>
                <w:numId w:val="1"/>
              </w:numPr>
              <w:rPr>
                <w:rFonts w:ascii="Times New Roman" w:hAnsi="Times New Roman" w:eastAsia="宋体"/>
                <w:color w:val="auto"/>
                <w:szCs w:val="21"/>
              </w:rPr>
            </w:pPr>
            <w:r>
              <w:rPr>
                <w:rFonts w:ascii="Times New Roman" w:hAnsi="Times New Roman" w:eastAsia="宋体"/>
                <w:color w:val="auto"/>
                <w:szCs w:val="21"/>
              </w:rPr>
              <w:t>水质不同所用清洗剂的浓度要求不同。碱洗时要求碱液PH10-11.5之间，PH过低不能有效地去除蛋白质和脂类，PH过高会对管道内的橡胶垫圈和奶衬产生腐蚀作用。</w:t>
            </w:r>
          </w:p>
        </w:tc>
        <w:tc>
          <w:tcPr>
            <w:tcW w:w="3975" w:type="dxa"/>
            <w:shd w:val="clear" w:color="auto" w:fill="auto"/>
            <w:vAlign w:val="center"/>
          </w:tcPr>
          <w:p>
            <w:pPr>
              <w:pStyle w:val="21"/>
              <w:numPr>
                <w:ilvl w:val="0"/>
                <w:numId w:val="7"/>
              </w:numPr>
              <w:rPr>
                <w:rFonts w:ascii="Times New Roman" w:eastAsia="宋体"/>
                <w:color w:val="auto"/>
                <w:sz w:val="21"/>
                <w:szCs w:val="21"/>
              </w:rPr>
            </w:pPr>
            <w:r>
              <w:rPr>
                <w:rFonts w:ascii="Times New Roman" w:eastAsia="宋体"/>
                <w:color w:val="auto"/>
                <w:sz w:val="21"/>
                <w:szCs w:val="21"/>
              </w:rPr>
              <w:t>上海市奶牛研究所</w:t>
            </w:r>
            <w:r>
              <w:rPr>
                <w:rFonts w:hint="eastAsia" w:ascii="Times New Roman" w:eastAsia="宋体"/>
                <w:color w:val="auto"/>
                <w:sz w:val="21"/>
                <w:szCs w:val="21"/>
                <w:lang w:val="en-US" w:eastAsia="zh-CN"/>
              </w:rPr>
              <w:t xml:space="preserve">  </w:t>
            </w:r>
            <w:r>
              <w:rPr>
                <w:rFonts w:ascii="Times New Roman" w:eastAsia="宋体"/>
                <w:color w:val="auto"/>
                <w:sz w:val="21"/>
                <w:szCs w:val="21"/>
              </w:rPr>
              <w:t>张克春</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25</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numPr>
                <w:ilvl w:val="0"/>
                <w:numId w:val="1"/>
              </w:numPr>
              <w:rPr>
                <w:rFonts w:ascii="Times New Roman" w:hAnsi="Times New Roman" w:eastAsia="宋体"/>
                <w:color w:val="auto"/>
                <w:szCs w:val="21"/>
              </w:rPr>
            </w:pPr>
            <w:r>
              <w:rPr>
                <w:rFonts w:ascii="Times New Roman" w:hAnsi="Times New Roman" w:eastAsia="宋体"/>
                <w:color w:val="auto"/>
                <w:szCs w:val="21"/>
              </w:rPr>
              <w:t>实际生产过程中清洗水温低于75℃会导致流量计清洗不彻底而导致自动脱杯异常。水温过低导致乳脂肪溶解性降低，过高会导致蛋白质凝结。水温一定要控制在75℃-85℃</w:t>
            </w:r>
          </w:p>
        </w:tc>
        <w:tc>
          <w:tcPr>
            <w:tcW w:w="3975" w:type="dxa"/>
            <w:shd w:val="clear" w:color="auto" w:fill="auto"/>
            <w:vAlign w:val="center"/>
          </w:tcPr>
          <w:p>
            <w:pPr>
              <w:pStyle w:val="21"/>
              <w:numPr>
                <w:ilvl w:val="0"/>
                <w:numId w:val="7"/>
              </w:numPr>
              <w:rPr>
                <w:rFonts w:ascii="Times New Roman" w:eastAsia="宋体"/>
                <w:color w:val="auto"/>
                <w:sz w:val="21"/>
                <w:szCs w:val="21"/>
              </w:rPr>
            </w:pPr>
            <w:r>
              <w:rPr>
                <w:rFonts w:ascii="Times New Roman" w:eastAsia="宋体"/>
                <w:color w:val="auto"/>
                <w:sz w:val="21"/>
                <w:szCs w:val="21"/>
              </w:rPr>
              <w:t>上海市奶牛研究所</w:t>
            </w:r>
            <w:r>
              <w:rPr>
                <w:rFonts w:hint="eastAsia" w:ascii="Times New Roman" w:eastAsia="宋体"/>
                <w:color w:val="auto"/>
                <w:sz w:val="21"/>
                <w:szCs w:val="21"/>
                <w:lang w:val="en-US" w:eastAsia="zh-CN"/>
              </w:rPr>
              <w:t xml:space="preserve">  </w:t>
            </w:r>
            <w:r>
              <w:rPr>
                <w:rFonts w:ascii="Times New Roman" w:eastAsia="宋体"/>
                <w:color w:val="auto"/>
                <w:sz w:val="21"/>
                <w:szCs w:val="21"/>
              </w:rPr>
              <w:t>张克春</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26</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numPr>
                <w:ilvl w:val="0"/>
                <w:numId w:val="1"/>
              </w:numPr>
              <w:rPr>
                <w:rFonts w:ascii="Times New Roman" w:hAnsi="Times New Roman" w:eastAsia="宋体"/>
                <w:color w:val="auto"/>
                <w:szCs w:val="21"/>
              </w:rPr>
            </w:pPr>
            <w:r>
              <w:rPr>
                <w:rFonts w:ascii="Times New Roman" w:hAnsi="Times New Roman" w:eastAsia="宋体"/>
                <w:color w:val="auto"/>
                <w:szCs w:val="21"/>
              </w:rPr>
              <w:t>生产过程中通过检测PH来确定酸液的用量。酸洗时确保PH在2.5-3.5之间，酸性过低不利于去除难溶物质，酸性过高会腐蚀挤奶管道。</w:t>
            </w:r>
          </w:p>
        </w:tc>
        <w:tc>
          <w:tcPr>
            <w:tcW w:w="3975" w:type="dxa"/>
            <w:shd w:val="clear" w:color="auto" w:fill="auto"/>
            <w:vAlign w:val="center"/>
          </w:tcPr>
          <w:p>
            <w:pPr>
              <w:pStyle w:val="21"/>
              <w:numPr>
                <w:ilvl w:val="0"/>
                <w:numId w:val="7"/>
              </w:numPr>
              <w:rPr>
                <w:rFonts w:ascii="Times New Roman" w:eastAsia="宋体"/>
                <w:color w:val="auto"/>
                <w:sz w:val="21"/>
                <w:szCs w:val="21"/>
              </w:rPr>
            </w:pPr>
            <w:r>
              <w:rPr>
                <w:rFonts w:ascii="Times New Roman" w:eastAsia="宋体"/>
                <w:color w:val="auto"/>
                <w:sz w:val="21"/>
                <w:szCs w:val="21"/>
              </w:rPr>
              <w:t>上海市奶牛研究所</w:t>
            </w:r>
            <w:r>
              <w:rPr>
                <w:rFonts w:hint="eastAsia" w:ascii="Times New Roman" w:eastAsia="宋体"/>
                <w:color w:val="auto"/>
                <w:sz w:val="21"/>
                <w:szCs w:val="21"/>
                <w:lang w:val="en-US" w:eastAsia="zh-CN"/>
              </w:rPr>
              <w:t xml:space="preserve">  </w:t>
            </w:r>
            <w:r>
              <w:rPr>
                <w:rFonts w:ascii="Times New Roman" w:eastAsia="宋体"/>
                <w:color w:val="auto"/>
                <w:sz w:val="21"/>
                <w:szCs w:val="21"/>
              </w:rPr>
              <w:t>张克春</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27</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pStyle w:val="21"/>
              <w:numPr>
                <w:ilvl w:val="0"/>
                <w:numId w:val="7"/>
              </w:numPr>
              <w:jc w:val="both"/>
              <w:rPr>
                <w:rFonts w:ascii="Times New Roman" w:eastAsia="宋体"/>
                <w:color w:val="auto"/>
                <w:sz w:val="21"/>
                <w:szCs w:val="21"/>
              </w:rPr>
            </w:pPr>
            <w:r>
              <w:rPr>
                <w:rFonts w:ascii="Times New Roman" w:eastAsia="宋体"/>
                <w:color w:val="auto"/>
                <w:sz w:val="21"/>
                <w:szCs w:val="21"/>
              </w:rPr>
              <w:t>清洗流程调整。挤奶操作结束后，挤奶设备应及时进行清洗，清洗操作流程包括：水洗、碱洗、水洗，应定期在碱洗后增加酸洗、水洗。为保证清洗质量和人员、设备的安全，清洗前应扣紧盖子。对清洗流程建议使用CIP就地清洗的具体步骤描述。</w:t>
            </w:r>
          </w:p>
        </w:tc>
        <w:tc>
          <w:tcPr>
            <w:tcW w:w="3975" w:type="dxa"/>
            <w:shd w:val="clear" w:color="auto" w:fill="auto"/>
            <w:vAlign w:val="center"/>
          </w:tcPr>
          <w:p>
            <w:pPr>
              <w:pStyle w:val="21"/>
              <w:numPr>
                <w:ilvl w:val="0"/>
                <w:numId w:val="7"/>
              </w:numPr>
              <w:rPr>
                <w:rFonts w:ascii="Times New Roman" w:eastAsia="宋体"/>
                <w:color w:val="auto"/>
                <w:sz w:val="21"/>
                <w:szCs w:val="21"/>
              </w:rPr>
            </w:pPr>
            <w:r>
              <w:rPr>
                <w:rFonts w:ascii="Times New Roman" w:eastAsia="宋体"/>
                <w:color w:val="auto"/>
                <w:sz w:val="21"/>
                <w:szCs w:val="21"/>
              </w:rPr>
              <w:t>光明乳业股份有限公司  钱莉</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28</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“水温要控制在35-40℃之间。”应为“水温要控制在35～40℃之间。”。以下类同。</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农业部食品质量监督检验测试中心（济南）柳琪</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29</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 w:val="22"/>
              </w:rPr>
              <w:t>5</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“清洗时间为10-15分钟”中的“分钟”应为英文</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农业部食品质量监督检验测试中心（济南）</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柳琪</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30</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删除“酸、碱应交替使用，在清洗的过程中应扣紧盖子。”</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光明牧业有限公司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刘光磊</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31</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挤奶及贮奶设备中的生乳放出后应及时清洗、消毒，清洗消毒操作流程包括水洗、碱洗和酸洗（酸洗可根据具体生产实际情况选择）、再水洗。酸、碱应交替使用，在清洗的过程中应扣紧盖子。</w:t>
            </w:r>
          </w:p>
          <w:p>
            <w:pPr>
              <w:widowControl/>
              <w:rPr>
                <w:rFonts w:ascii="Times New Roman" w:hAnsi="Times New Roman" w:eastAsia="宋体"/>
                <w:color w:val="auto"/>
                <w:szCs w:val="21"/>
              </w:rPr>
            </w:pPr>
            <w:r>
              <w:rPr>
                <w:rFonts w:ascii="Times New Roman" w:hAnsi="Times New Roman" w:eastAsia="宋体"/>
                <w:color w:val="auto"/>
                <w:szCs w:val="21"/>
              </w:rPr>
              <w:t>建议修改为：挤奶及贮奶设备中的生乳放出后应及时清洗、消毒，定期对挤奶设备设施及贮存设施的维护保养，确保设备设施最佳运行状态。</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32</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5.2.1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5.2.1：排尽挤奶管道内牛奶</w:t>
            </w:r>
          </w:p>
          <w:p>
            <w:pPr>
              <w:rPr>
                <w:rFonts w:ascii="Times New Roman" w:hAnsi="Times New Roman" w:eastAsia="宋体"/>
                <w:color w:val="auto"/>
                <w:szCs w:val="21"/>
              </w:rPr>
            </w:pPr>
            <w:r>
              <w:rPr>
                <w:rFonts w:ascii="Times New Roman" w:hAnsi="Times New Roman" w:eastAsia="宋体"/>
                <w:color w:val="auto"/>
                <w:szCs w:val="21"/>
              </w:rPr>
              <w:t>建议“牛奶”改为“奶液”，不强调牛奶/乳，泛指生奶/乳。</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33</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5.2.2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5.2.2：设备外表无牛粪等污物；挤奶厅无牛粪等污物；</w:t>
            </w:r>
          </w:p>
          <w:p>
            <w:pPr>
              <w:widowControl/>
              <w:rPr>
                <w:rFonts w:ascii="Times New Roman" w:hAnsi="Times New Roman" w:eastAsia="宋体"/>
                <w:color w:val="auto"/>
                <w:szCs w:val="21"/>
              </w:rPr>
            </w:pPr>
            <w:r>
              <w:rPr>
                <w:rFonts w:ascii="Times New Roman" w:hAnsi="Times New Roman" w:eastAsia="宋体"/>
                <w:color w:val="auto"/>
                <w:szCs w:val="21"/>
              </w:rPr>
              <w:t>建议“牛粪”改为“粪便”，不强调牛，泛指奶畜。</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34</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5.2.2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清洗前应对挤奶设施设备表面进行清洁工作，确保设备外表无牛粪等污物；对挤奶台管道、场地进行冲洗，确保挤奶厅无牛粪等污物；清洗贮奶设施设备前，也应对其表面进行清洁工作。</w:t>
            </w:r>
          </w:p>
          <w:p>
            <w:pPr>
              <w:widowControl/>
              <w:rPr>
                <w:rFonts w:ascii="Times New Roman" w:hAnsi="Times New Roman" w:eastAsia="宋体"/>
                <w:color w:val="auto"/>
                <w:szCs w:val="21"/>
              </w:rPr>
            </w:pPr>
            <w:r>
              <w:rPr>
                <w:rFonts w:ascii="Times New Roman" w:hAnsi="Times New Roman" w:eastAsia="宋体"/>
                <w:color w:val="auto"/>
                <w:szCs w:val="21"/>
              </w:rPr>
              <w:t>建议修改为：清洗前应对挤奶设施设备表面进行清洁工作，确保设备外表无牛粪等污物；后段描述删除</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35</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5.2.3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挤奶杯安装到相应的清洗底座，确认安装到位。清洗底座与清洗水管，确保无老化、破损现象。</w:t>
            </w:r>
          </w:p>
          <w:p>
            <w:pPr>
              <w:widowControl/>
              <w:rPr>
                <w:rFonts w:ascii="Times New Roman" w:hAnsi="Times New Roman" w:eastAsia="宋体"/>
                <w:color w:val="auto"/>
                <w:szCs w:val="21"/>
              </w:rPr>
            </w:pPr>
            <w:r>
              <w:rPr>
                <w:rFonts w:ascii="Times New Roman" w:hAnsi="Times New Roman" w:eastAsia="宋体"/>
                <w:color w:val="auto"/>
                <w:szCs w:val="21"/>
              </w:rPr>
              <w:t>建议修改为：挤奶杯安装到相应的清洗底座，确认安装到位。后段描述删除</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36</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5.2.3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挤奶杯安装到相应的清洗底座，确认安装到位。清洗底座与清洗水管应确保无老化、破损现象。</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农业农村部乳品质量监督检验测试中</w:t>
            </w:r>
            <w:r>
              <w:rPr>
                <w:rFonts w:hint="eastAsia" w:ascii="Times New Roman" w:hAnsi="Times New Roman" w:eastAsia="宋体"/>
                <w:color w:val="auto"/>
                <w:szCs w:val="21"/>
                <w:lang w:val="en-US" w:eastAsia="zh-CN"/>
              </w:rPr>
              <w:t xml:space="preserve">心 </w:t>
            </w:r>
            <w:r>
              <w:rPr>
                <w:rFonts w:ascii="Times New Roman" w:hAnsi="Times New Roman" w:eastAsia="宋体"/>
                <w:color w:val="auto"/>
                <w:szCs w:val="21"/>
              </w:rPr>
              <w:t>刘  壮</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37</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5.2.4</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定期对清洗挤奶或贮奶设施设备死角进行拆洗，如接头，奶泵等。建议改为：定期对清洗挤奶或贮奶设施设备死角进行人工拆洗，如接头，奶泵等。</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38</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建议将酸碱的浓度改为“%”或质量体积浓度。因在实际操作中通过直接配置并用于CIP清洗。最好直接规定所使用的酸碱“氢氧化钠与硝酸”。这是目前乳品企业常用的酸碱。如常使用的氢氧化钠溶液浓度为“1-3%”；硝酸溶液浓度“1-2%”。</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农业农村部乳品质量监督检验测试中心（哈尔滨）</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姜金斗</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39</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挤奶完毕，清洗管路接好后，将出水关口放到下水道口，马上用常温水进行单向预冲洗，不加任何清洗剂。</w:t>
            </w:r>
          </w:p>
          <w:p>
            <w:pPr>
              <w:rPr>
                <w:rFonts w:ascii="Times New Roman" w:hAnsi="Times New Roman" w:eastAsia="宋体"/>
                <w:color w:val="auto"/>
                <w:szCs w:val="21"/>
              </w:rPr>
            </w:pPr>
            <w:r>
              <w:rPr>
                <w:rFonts w:ascii="Times New Roman" w:hAnsi="Times New Roman" w:eastAsia="宋体"/>
                <w:color w:val="auto"/>
                <w:szCs w:val="21"/>
              </w:rPr>
              <w:t>建议改为：挤奶完毕，清洗管路接好后，将出水关口放到下水道口，马上用水进行单向预冲洗，不加任何清洗剂。冲洗时间5分钟。</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40</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“将出水关口放到下水道口”是否修改为“将出口管口放到下水道口”？</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黑龙江省农垦乳品检测中心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韩秋红</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41</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以循环清洗方式用碱液清洗5min～10min；碱液按照不同消毒剂的浓度添加不同的水量，使pH为11.5～12；碱液温度开始时不低于75℃，结束时应在40 ℃以上。</w:t>
            </w:r>
          </w:p>
          <w:p>
            <w:pPr>
              <w:rPr>
                <w:rFonts w:ascii="Times New Roman" w:hAnsi="Times New Roman" w:eastAsia="宋体"/>
                <w:color w:val="auto"/>
                <w:szCs w:val="21"/>
              </w:rPr>
            </w:pPr>
            <w:r>
              <w:rPr>
                <w:rFonts w:ascii="Times New Roman" w:hAnsi="Times New Roman" w:eastAsia="宋体"/>
                <w:color w:val="auto"/>
                <w:szCs w:val="21"/>
              </w:rPr>
              <w:t>建议改为：以循环清洗方式用碱液清洗5min～10min；碱液pH为11.5～12；碱液温度开始时不低于75℃，结束时应在40 ℃以上。</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42</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5.3.2</w:t>
            </w:r>
          </w:p>
          <w:p>
            <w:pPr>
              <w:jc w:val="center"/>
              <w:rPr>
                <w:rFonts w:ascii="Times New Roman" w:hAnsi="Times New Roman" w:eastAsia="宋体"/>
                <w:color w:val="auto"/>
                <w:szCs w:val="21"/>
              </w:rPr>
            </w:pP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实际清洗中清洗剂的浓度一般以酸碱液的质量百分数为准，建议把清洗剂PH换成酸碱的质量百分数；</w:t>
            </w:r>
          </w:p>
          <w:p>
            <w:pPr>
              <w:rPr>
                <w:rFonts w:ascii="Times New Roman" w:hAnsi="Times New Roman" w:eastAsia="宋体"/>
                <w:color w:val="auto"/>
                <w:szCs w:val="21"/>
              </w:rPr>
            </w:pPr>
            <w:r>
              <w:rPr>
                <w:rFonts w:ascii="Times New Roman" w:hAnsi="Times New Roman" w:eastAsia="宋体"/>
                <w:color w:val="auto"/>
                <w:szCs w:val="21"/>
              </w:rPr>
              <w:t>2、以循环清洗方式用酸液清洗5min～10min；酸液按照不同消毒剂的浓度添加不同的水量，使pH为2～3；酸液开始时不低于75℃，结束时应在40 ℃以上。建议修改为 酸液修改为60-70℃</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43</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“pH”应为“pH值”；pH值有效数字位数应一致</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唐山市畜牧水产品质量监测中心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44</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是否在5.3.2碱洗步骤后增加“水洗”步骤，以达到与“图1 清洗消毒流程”表述一致？</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黑龙江省农垦乳品检测中心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韩秋红</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45</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应标准：低温清洗剂除外</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现代牧业（集团）有限公司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常温清洗剂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46</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以循环清洗方式用酸液清洗5min～10min；酸液按照不同消毒剂的浓度添加不同的水量，使pH为2～3；酸液开始时不低于75℃，结束时应在40 ℃以上。</w:t>
            </w:r>
          </w:p>
          <w:p>
            <w:pPr>
              <w:widowControl/>
              <w:rPr>
                <w:rFonts w:ascii="Times New Roman" w:hAnsi="Times New Roman" w:eastAsia="宋体"/>
                <w:color w:val="auto"/>
                <w:szCs w:val="21"/>
              </w:rPr>
            </w:pPr>
            <w:r>
              <w:rPr>
                <w:rFonts w:ascii="Times New Roman" w:hAnsi="Times New Roman" w:eastAsia="宋体"/>
                <w:color w:val="auto"/>
                <w:szCs w:val="21"/>
              </w:rPr>
              <w:t>建议改为：以循环清洗方式用酸液清洗5min～10min；酸液pH为2～3；酸液开始时不低于75℃，结束时应在40 ℃以上。</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47</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实际清洗中清洗剂的浓度一般以酸碱液的质量百分数为准，建议把清洗剂PH换成酸碱的质量百分数；</w:t>
            </w:r>
          </w:p>
          <w:p>
            <w:pPr>
              <w:rPr>
                <w:rFonts w:ascii="Times New Roman" w:hAnsi="Times New Roman" w:eastAsia="宋体"/>
                <w:color w:val="auto"/>
                <w:szCs w:val="21"/>
              </w:rPr>
            </w:pPr>
            <w:r>
              <w:rPr>
                <w:rFonts w:ascii="Times New Roman" w:hAnsi="Times New Roman" w:eastAsia="宋体"/>
                <w:color w:val="auto"/>
                <w:szCs w:val="21"/>
              </w:rPr>
              <w:t>2、以循环清洗方式用酸液清洗5min～10min；酸液按照不同消毒剂的浓度添加不同的水量，使pH为2～3；酸液开始时不低于75℃，结束时应在40 ℃以上。建议修改为 酸液修改为60-70℃</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48</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5.3.3</w:t>
            </w:r>
          </w:p>
          <w:p>
            <w:pPr>
              <w:jc w:val="center"/>
              <w:rPr>
                <w:rFonts w:ascii="Times New Roman" w:hAnsi="Times New Roman" w:eastAsia="宋体"/>
                <w:color w:val="auto"/>
                <w:szCs w:val="21"/>
              </w:rPr>
            </w:pP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“pH”应为“pH值”；pH值有效数字位数应一致</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唐山市畜牧水产品质量监测中心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49</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5.3.3：酸液开始</w:t>
            </w:r>
          </w:p>
          <w:p>
            <w:pPr>
              <w:rPr>
                <w:rFonts w:ascii="Times New Roman" w:hAnsi="Times New Roman" w:eastAsia="宋体"/>
                <w:color w:val="auto"/>
                <w:szCs w:val="21"/>
              </w:rPr>
            </w:pPr>
            <w:r>
              <w:rPr>
                <w:rFonts w:ascii="Times New Roman" w:hAnsi="Times New Roman" w:eastAsia="宋体"/>
                <w:color w:val="auto"/>
                <w:szCs w:val="21"/>
              </w:rPr>
              <w:t>建议“酸液”“开始”中间加入“温度”，同5.3.2碱洗的描述方式。</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50</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5.3.3</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应标准：低温清洗剂除外</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现代牧业（集团）有限公司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常温清洗剂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51</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5.3.4</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“将出水关口放到下水道口”是否修改为“将出口管口放到下水道口”？</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黑龙江省农垦乳品检测中心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韩秋红</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52</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5.3.4</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“pH”应为“pH值”；pH值有效数字位数应一致</w:t>
            </w:r>
          </w:p>
        </w:tc>
        <w:tc>
          <w:tcPr>
            <w:tcW w:w="3975" w:type="dxa"/>
            <w:shd w:val="clear" w:color="auto" w:fill="auto"/>
            <w:vAlign w:val="center"/>
          </w:tcPr>
          <w:p>
            <w:pPr>
              <w:jc w:val="center"/>
              <w:rPr>
                <w:rFonts w:hint="eastAsia" w:ascii="Times New Roman" w:hAnsi="Times New Roman" w:eastAsia="宋体"/>
                <w:color w:val="auto"/>
                <w:szCs w:val="21"/>
                <w:lang w:val="en-US" w:eastAsia="zh-CN"/>
              </w:rPr>
            </w:pPr>
            <w:r>
              <w:rPr>
                <w:rFonts w:ascii="Times New Roman" w:hAnsi="Times New Roman" w:eastAsia="宋体"/>
                <w:color w:val="auto"/>
                <w:szCs w:val="21"/>
              </w:rPr>
              <w:t>唐山市畜牧水产品质量监测中心</w:t>
            </w:r>
            <w:r>
              <w:rPr>
                <w:rFonts w:hint="eastAsia" w:ascii="Times New Roman" w:hAnsi="Times New Roman" w:eastAsia="宋体"/>
                <w:color w:val="auto"/>
                <w:szCs w:val="21"/>
                <w:lang w:val="en-US" w:eastAsia="zh-CN"/>
              </w:rPr>
              <w:t xml:space="preserve">  </w:t>
            </w:r>
          </w:p>
          <w:p>
            <w:pPr>
              <w:jc w:val="center"/>
              <w:rPr>
                <w:rFonts w:ascii="Times New Roman" w:hAnsi="Times New Roman" w:eastAsia="宋体"/>
                <w:color w:val="auto"/>
                <w:szCs w:val="21"/>
              </w:rPr>
            </w:pPr>
            <w:r>
              <w:rPr>
                <w:rFonts w:ascii="Times New Roman" w:hAnsi="Times New Roman" w:eastAsia="宋体"/>
                <w:color w:val="auto"/>
                <w:szCs w:val="21"/>
              </w:rPr>
              <w:t>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53</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5.3.4</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建议将“直至pH为7.0”改为“直至达到冲洗用水的pH ”。因许多情况下水的pH非7.0。</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农业农村部乳品质量监督检验测试中心（哈尔滨）</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姜金斗</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54</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5.3.5</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消毒过程热水会散热，需要明确不低于77℃保持5min。改为“热水消毒以循环清洗的方式用不低于77℃热水消毒至少5min”。</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55</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 清洗消毒效果验证</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涂抹法洁净度（RLU）判定标准≤150。根据前期使用发现不同厂家试剂以及结果判定标准不一致，150建议作为参考标准，或者标准中明确参考试剂以便于使用中对比判读。</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现代牧业（集团）有限公司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部分采纳</w:t>
            </w:r>
          </w:p>
        </w:tc>
        <w:tc>
          <w:tcPr>
            <w:tcW w:w="2254" w:type="dxa"/>
            <w:shd w:val="clear" w:color="auto" w:fill="auto"/>
            <w:vAlign w:val="center"/>
          </w:tcPr>
          <w:p>
            <w:pPr>
              <w:jc w:val="center"/>
              <w:rPr>
                <w:rFonts w:ascii="Times New Roman" w:hAnsi="Times New Roman" w:eastAsia="宋体"/>
                <w:color w:val="auto"/>
                <w:szCs w:val="21"/>
              </w:rPr>
            </w:pPr>
          </w:p>
          <w:p>
            <w:pPr>
              <w:jc w:val="center"/>
              <w:rPr>
                <w:rFonts w:ascii="Times New Roman" w:hAnsi="Times New Roman" w:eastAsia="宋体"/>
                <w:color w:val="auto"/>
                <w:szCs w:val="21"/>
              </w:rPr>
            </w:pPr>
            <w:r>
              <w:rPr>
                <w:rFonts w:ascii="Times New Roman" w:hAnsi="Times New Roman" w:eastAsia="宋体"/>
                <w:color w:val="auto"/>
                <w:szCs w:val="21"/>
              </w:rPr>
              <w:t>本身就是作为参考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56</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6.2</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感官查验，建议修改为“检查”</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国家乳业工程技术研究中心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杨金宝</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57</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6.3.1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“设备每周至少一次应开展微生物检测”改为“设备每周应至少开展一次微生物检测”</w:t>
            </w:r>
          </w:p>
        </w:tc>
        <w:tc>
          <w:tcPr>
            <w:tcW w:w="3975" w:type="dxa"/>
            <w:shd w:val="clear" w:color="auto" w:fill="auto"/>
            <w:vAlign w:val="center"/>
          </w:tcPr>
          <w:p>
            <w:pPr>
              <w:jc w:val="center"/>
              <w:rPr>
                <w:rFonts w:hint="eastAsia" w:ascii="Times New Roman" w:hAnsi="Times New Roman" w:eastAsia="宋体"/>
                <w:color w:val="auto"/>
                <w:szCs w:val="21"/>
                <w:lang w:val="en-US" w:eastAsia="zh-CN"/>
              </w:rPr>
            </w:pPr>
            <w:r>
              <w:rPr>
                <w:rFonts w:ascii="Times New Roman" w:hAnsi="Times New Roman" w:eastAsia="宋体"/>
                <w:color w:val="auto"/>
                <w:szCs w:val="21"/>
              </w:rPr>
              <w:t>唐山市畜牧水产品质量监测中心</w:t>
            </w:r>
            <w:r>
              <w:rPr>
                <w:rFonts w:hint="eastAsia" w:ascii="Times New Roman" w:hAnsi="Times New Roman" w:eastAsia="宋体"/>
                <w:color w:val="auto"/>
                <w:szCs w:val="21"/>
                <w:lang w:val="en-US" w:eastAsia="zh-CN"/>
              </w:rPr>
              <w:t xml:space="preserve"> </w:t>
            </w:r>
          </w:p>
          <w:p>
            <w:pPr>
              <w:jc w:val="center"/>
              <w:rPr>
                <w:rFonts w:ascii="Times New Roman" w:hAnsi="Times New Roman" w:eastAsia="宋体"/>
                <w:color w:val="auto"/>
                <w:szCs w:val="21"/>
              </w:rPr>
            </w:pP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李爱军</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58</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6.3.1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清洗过的挤奶及贮奶设备每周至少一次应开展微生物检测。根据牧场的实际情况，对直接接触牛乳的设备表面或者管道内侧、管口可选择6.3.2中规定的方法一或方法二进行验证。</w:t>
            </w:r>
          </w:p>
          <w:p>
            <w:pPr>
              <w:rPr>
                <w:rFonts w:ascii="Times New Roman" w:hAnsi="Times New Roman" w:eastAsia="宋体"/>
                <w:color w:val="auto"/>
                <w:szCs w:val="21"/>
              </w:rPr>
            </w:pPr>
            <w:r>
              <w:rPr>
                <w:rFonts w:ascii="Times New Roman" w:hAnsi="Times New Roman" w:eastAsia="宋体"/>
                <w:color w:val="auto"/>
                <w:szCs w:val="21"/>
              </w:rPr>
              <w:t>建议改为：清洗过的挤奶及贮奶设备每周至少一次应开展清洗效果验证。根据牧场的实际情况，对直接接触牛乳的设备表面或者管道内侧、管口可选择6.3.2中规定的方法一或方法二进行验证。</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59</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6.3.1</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6.3.1:对直接接触牛乳</w:t>
            </w:r>
          </w:p>
          <w:p>
            <w:pPr>
              <w:adjustRightInd w:val="0"/>
              <w:rPr>
                <w:rFonts w:ascii="Times New Roman" w:hAnsi="Times New Roman" w:eastAsia="宋体"/>
                <w:color w:val="auto"/>
                <w:szCs w:val="21"/>
              </w:rPr>
            </w:pPr>
            <w:r>
              <w:rPr>
                <w:rFonts w:ascii="Times New Roman" w:hAnsi="Times New Roman" w:eastAsia="宋体"/>
                <w:color w:val="auto"/>
                <w:szCs w:val="21"/>
              </w:rPr>
              <w:t>建议“牛乳”改为“奶液”，不强调牛奶/乳，泛指生奶/乳。</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60</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附录A</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“棉签”出现两次。“棉花棒”出现6次。</w:t>
            </w:r>
          </w:p>
          <w:p>
            <w:pPr>
              <w:rPr>
                <w:rFonts w:ascii="Times New Roman" w:hAnsi="Times New Roman" w:eastAsia="宋体"/>
                <w:color w:val="auto"/>
                <w:szCs w:val="21"/>
              </w:rPr>
            </w:pPr>
            <w:r>
              <w:rPr>
                <w:rFonts w:ascii="Times New Roman" w:hAnsi="Times New Roman" w:eastAsia="宋体"/>
                <w:color w:val="auto"/>
                <w:szCs w:val="21"/>
              </w:rPr>
              <w:t>如果“棉签”和“棉花棒”指的是同一个物品，建议用同一个术语。</w:t>
            </w:r>
          </w:p>
          <w:p>
            <w:pPr>
              <w:rPr>
                <w:rFonts w:ascii="Times New Roman" w:hAnsi="Times New Roman" w:eastAsia="宋体"/>
                <w:color w:val="auto"/>
                <w:szCs w:val="21"/>
              </w:rPr>
            </w:pPr>
            <w:r>
              <w:rPr>
                <w:rFonts w:ascii="Times New Roman" w:hAnsi="Times New Roman" w:eastAsia="宋体"/>
                <w:color w:val="auto"/>
                <w:szCs w:val="21"/>
              </w:rPr>
              <w:t>容器卫生涂抹要求==涂抹点？==采样点？==检测点？</w:t>
            </w:r>
          </w:p>
          <w:p>
            <w:pPr>
              <w:rPr>
                <w:rFonts w:ascii="Times New Roman" w:hAnsi="Times New Roman" w:eastAsia="宋体"/>
                <w:color w:val="auto"/>
                <w:szCs w:val="21"/>
              </w:rPr>
            </w:pPr>
            <w:r>
              <w:rPr>
                <w:rFonts w:ascii="Times New Roman" w:hAnsi="Times New Roman" w:eastAsia="宋体"/>
                <w:color w:val="auto"/>
                <w:szCs w:val="21"/>
              </w:rPr>
              <w:t>建议表A.1中表头中的描述和A.1.3具体操作中的描述尽量对应，术语有点多。</w:t>
            </w:r>
          </w:p>
          <w:p>
            <w:pPr>
              <w:rPr>
                <w:rFonts w:ascii="Times New Roman" w:hAnsi="Times New Roman" w:eastAsia="宋体"/>
                <w:color w:val="auto"/>
                <w:szCs w:val="21"/>
              </w:rPr>
            </w:pPr>
            <w:r>
              <w:rPr>
                <w:rFonts w:ascii="Times New Roman" w:hAnsi="Times New Roman" w:eastAsia="宋体"/>
                <w:color w:val="auto"/>
                <w:szCs w:val="21"/>
              </w:rPr>
              <w:t>毫升==mL。</w:t>
            </w:r>
          </w:p>
          <w:p>
            <w:pPr>
              <w:rPr>
                <w:rFonts w:ascii="Times New Roman" w:hAnsi="Times New Roman" w:eastAsia="宋体"/>
                <w:color w:val="auto"/>
                <w:szCs w:val="21"/>
              </w:rPr>
            </w:pPr>
            <w:r>
              <w:rPr>
                <w:rFonts w:ascii="Times New Roman" w:hAnsi="Times New Roman" w:eastAsia="宋体"/>
                <w:color w:val="auto"/>
                <w:szCs w:val="21"/>
              </w:rPr>
              <w:t>建议A..1.1出现的2个“毫升”与A.1.3.3和表A.2出现的“mL”表达一致。</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农业农村部奶及奶制品质量监督检验测试中心(北京)</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赵慧芬</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61</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kern w:val="0"/>
                <w:szCs w:val="21"/>
              </w:rPr>
              <w:t>附录A</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将涂抹过的棉花棒放入10 mL灭菌生理盐水里。（建议：将涂抹过的棉花棒或涂抹纸放入50 mL灭菌生理盐水里。）</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内蒙古富源国际实业有限公司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李卿</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未采纳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一般都是放入10 mL灭菌生理盐水里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62</w:t>
            </w:r>
          </w:p>
        </w:tc>
        <w:tc>
          <w:tcPr>
            <w:tcW w:w="1440" w:type="dxa"/>
            <w:shd w:val="clear" w:color="auto" w:fill="auto"/>
            <w:vAlign w:val="center"/>
          </w:tcPr>
          <w:p>
            <w:pPr>
              <w:jc w:val="center"/>
              <w:rPr>
                <w:rFonts w:ascii="Times New Roman" w:hAnsi="Times New Roman" w:eastAsia="宋体"/>
                <w:color w:val="auto"/>
                <w:kern w:val="0"/>
                <w:szCs w:val="21"/>
              </w:rPr>
            </w:pPr>
            <w:r>
              <w:rPr>
                <w:rFonts w:ascii="Times New Roman" w:hAnsi="Times New Roman" w:eastAsia="宋体"/>
                <w:color w:val="auto"/>
                <w:szCs w:val="21"/>
              </w:rPr>
              <w:t>附录A</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A.3.2建议再斟酌涂抹面积1平方厘米面积太小，代表性不强</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修改为5*5平方厘米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63</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附录A</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A.3.2 来到采样点，确认已清洗结束。按照标准描述清洗结束后取样，与标题清洗消毒不符合。建议更改。</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vAlign w:val="center"/>
          </w:tcPr>
          <w:p>
            <w:pPr>
              <w:jc w:val="center"/>
              <w:rPr>
                <w:rFonts w:ascii="Times New Roman" w:hAnsi="Times New Roman" w:eastAsia="宋体"/>
                <w:color w:val="auto"/>
                <w:szCs w:val="21"/>
              </w:rPr>
            </w:pPr>
            <w:r>
              <w:rPr>
                <w:rFonts w:ascii="Times New Roman" w:hAnsi="Times New Roman" w:eastAsia="宋体"/>
                <w:color w:val="auto"/>
                <w:szCs w:val="21"/>
              </w:rPr>
              <w:t>64</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附录A</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A.3.3棉花棒必须在生理盐水里浸泡30 min后才可检测。按GB 4789.2《食品安全国家标准食品微生物学检验菌落总数测定》中规定的方法来检测。如不能立即进行微生物检测，应将棉花棒置于4℃保存。建议将时间缩短，等不到30min后检测。</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杭州新希望双峰乳业有限公司</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赵广生</w:t>
            </w:r>
          </w:p>
        </w:tc>
        <w:tc>
          <w:tcPr>
            <w:tcW w:w="1470" w:type="dxa"/>
            <w:shd w:val="clear" w:color="auto" w:fill="auto"/>
            <w:vAlign w:val="center"/>
          </w:tcPr>
          <w:p>
            <w:pPr>
              <w:ind w:firstLine="420" w:firstLineChars="200"/>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65</w:t>
            </w:r>
          </w:p>
        </w:tc>
        <w:tc>
          <w:tcPr>
            <w:tcW w:w="1440" w:type="dxa"/>
            <w:shd w:val="clear" w:color="auto" w:fill="auto"/>
            <w:vAlign w:val="center"/>
          </w:tcPr>
          <w:p>
            <w:pPr>
              <w:jc w:val="center"/>
              <w:rPr>
                <w:rFonts w:ascii="Times New Roman" w:hAnsi="Times New Roman" w:eastAsia="宋体"/>
                <w:color w:val="auto"/>
                <w:kern w:val="0"/>
                <w:szCs w:val="21"/>
              </w:rPr>
            </w:pPr>
            <w:r>
              <w:rPr>
                <w:rFonts w:ascii="Times New Roman" w:hAnsi="Times New Roman" w:eastAsia="宋体"/>
                <w:color w:val="auto"/>
                <w:kern w:val="0"/>
                <w:szCs w:val="21"/>
              </w:rPr>
              <w:t>附录B</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B.2.1检测不合格的点位，在出具试验结果的当天，通知相关人员马上重新清洗。</w:t>
            </w:r>
          </w:p>
          <w:p>
            <w:pPr>
              <w:rPr>
                <w:rFonts w:ascii="Times New Roman" w:hAnsi="Times New Roman" w:eastAsia="宋体"/>
                <w:color w:val="auto"/>
                <w:szCs w:val="21"/>
              </w:rPr>
            </w:pPr>
            <w:r>
              <w:rPr>
                <w:rFonts w:ascii="Times New Roman" w:hAnsi="Times New Roman" w:eastAsia="宋体"/>
                <w:color w:val="auto"/>
                <w:szCs w:val="21"/>
              </w:rPr>
              <w:t>建议改为：检测不合格的点位，在出具试验结果的当天，通知相关人员进行原因分析采取纠正措施。</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光明乳业</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杨菊香</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66</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全文</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全文格式按GB/T 1.1修改</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黑龙江省农垦乳品检测中心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韩秋红</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67</w:t>
            </w:r>
          </w:p>
        </w:tc>
        <w:tc>
          <w:tcPr>
            <w:tcW w:w="144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全文</w:t>
            </w:r>
          </w:p>
        </w:tc>
        <w:tc>
          <w:tcPr>
            <w:tcW w:w="3960" w:type="dxa"/>
            <w:shd w:val="clear" w:color="auto" w:fill="auto"/>
            <w:vAlign w:val="center"/>
          </w:tcPr>
          <w:p>
            <w:pPr>
              <w:rPr>
                <w:rFonts w:ascii="Times New Roman" w:hAnsi="Times New Roman" w:eastAsia="宋体"/>
                <w:color w:val="auto"/>
                <w:szCs w:val="21"/>
              </w:rPr>
            </w:pPr>
            <w:r>
              <w:rPr>
                <w:rFonts w:ascii="Times New Roman" w:hAnsi="Times New Roman" w:eastAsia="宋体"/>
                <w:color w:val="auto"/>
                <w:szCs w:val="21"/>
              </w:rPr>
              <w:t>依据GB/T1.1中附录F规定，“必须”改为“应”。</w:t>
            </w:r>
          </w:p>
        </w:tc>
        <w:tc>
          <w:tcPr>
            <w:tcW w:w="397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农业部乳品质量监督检验测试中心（哈尔滨） 李琴</w:t>
            </w:r>
          </w:p>
        </w:tc>
        <w:tc>
          <w:tcPr>
            <w:tcW w:w="1470"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采纳</w:t>
            </w:r>
          </w:p>
        </w:tc>
        <w:tc>
          <w:tcPr>
            <w:tcW w:w="2254" w:type="dxa"/>
            <w:shd w:val="clear" w:color="auto" w:fill="auto"/>
            <w:vAlign w:val="center"/>
          </w:tcPr>
          <w:p>
            <w:pPr>
              <w:snapToGrid w:val="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68</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其他</w:t>
            </w:r>
          </w:p>
        </w:tc>
        <w:tc>
          <w:tcPr>
            <w:tcW w:w="3960" w:type="dxa"/>
            <w:shd w:val="clear" w:color="auto" w:fill="auto"/>
            <w:vAlign w:val="center"/>
          </w:tcPr>
          <w:p>
            <w:pPr>
              <w:pStyle w:val="19"/>
              <w:ind w:firstLine="0" w:firstLineChars="0"/>
              <w:rPr>
                <w:rFonts w:ascii="Times New Roman" w:hAnsi="Times New Roman" w:eastAsia="宋体"/>
                <w:color w:val="auto"/>
                <w:szCs w:val="21"/>
              </w:rPr>
            </w:pPr>
            <w:r>
              <w:rPr>
                <w:rFonts w:ascii="Times New Roman" w:hAnsi="Times New Roman" w:eastAsia="宋体"/>
                <w:color w:val="auto"/>
                <w:szCs w:val="21"/>
              </w:rPr>
              <w:t>可否规定采用其他清洗剂的方法。</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北京奶牛中心</w:t>
            </w:r>
            <w:r>
              <w:rPr>
                <w:rFonts w:hint="eastAsia" w:ascii="Times New Roman" w:hAnsi="Times New Roman" w:eastAsia="宋体"/>
                <w:color w:val="auto"/>
                <w:szCs w:val="21"/>
                <w:lang w:val="en-US" w:eastAsia="zh-CN"/>
              </w:rPr>
              <w:t xml:space="preserve">  </w:t>
            </w:r>
            <w:r>
              <w:rPr>
                <w:rFonts w:ascii="Times New Roman" w:hAnsi="Times New Roman" w:eastAsia="宋体"/>
                <w:color w:val="auto"/>
                <w:szCs w:val="21"/>
              </w:rPr>
              <w:t>韩广文</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未采纳</w:t>
            </w: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其他的清洗方法比较小众，情况不太了解，不具有普适性</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69</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p>
        </w:tc>
        <w:tc>
          <w:tcPr>
            <w:tcW w:w="3960" w:type="dxa"/>
            <w:shd w:val="clear" w:color="auto" w:fill="auto"/>
            <w:vAlign w:val="center"/>
          </w:tcPr>
          <w:p>
            <w:pPr>
              <w:pStyle w:val="19"/>
              <w:ind w:firstLine="0" w:firstLineChars="0"/>
              <w:rPr>
                <w:rFonts w:ascii="Times New Roman" w:hAnsi="Times New Roman" w:eastAsia="宋体"/>
                <w:color w:val="auto"/>
                <w:szCs w:val="21"/>
              </w:rPr>
            </w:pPr>
            <w:r>
              <w:rPr>
                <w:rFonts w:ascii="Times New Roman" w:hAnsi="Times New Roman" w:eastAsia="宋体"/>
                <w:color w:val="auto"/>
                <w:szCs w:val="21"/>
              </w:rPr>
              <w:t>无意见</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农业农村部食品质量监督检验测试中心（佳木斯）</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 w:hRule="atLeast"/>
          <w:jc w:val="center"/>
        </w:trPr>
        <w:tc>
          <w:tcPr>
            <w:tcW w:w="845" w:type="dxa"/>
            <w:shd w:val="clear" w:color="auto" w:fill="auto"/>
            <w:vAlign w:val="center"/>
          </w:tcPr>
          <w:p>
            <w:pPr>
              <w:jc w:val="center"/>
              <w:rPr>
                <w:rFonts w:ascii="Times New Roman" w:hAnsi="Times New Roman" w:eastAsia="宋体"/>
                <w:color w:val="auto"/>
                <w:szCs w:val="21"/>
              </w:rPr>
            </w:pPr>
            <w:r>
              <w:rPr>
                <w:rFonts w:ascii="Times New Roman" w:hAnsi="Times New Roman" w:eastAsia="宋体"/>
                <w:color w:val="auto"/>
                <w:szCs w:val="21"/>
              </w:rPr>
              <w:t>70</w:t>
            </w:r>
          </w:p>
        </w:tc>
        <w:tc>
          <w:tcPr>
            <w:tcW w:w="1440" w:type="dxa"/>
            <w:shd w:val="clear" w:color="auto" w:fill="auto"/>
            <w:vAlign w:val="center"/>
          </w:tcPr>
          <w:p>
            <w:pPr>
              <w:pStyle w:val="19"/>
              <w:ind w:firstLine="0" w:firstLineChars="0"/>
              <w:jc w:val="center"/>
              <w:rPr>
                <w:rFonts w:ascii="Times New Roman" w:hAnsi="Times New Roman" w:eastAsia="宋体"/>
                <w:color w:val="auto"/>
                <w:szCs w:val="21"/>
              </w:rPr>
            </w:pPr>
          </w:p>
        </w:tc>
        <w:tc>
          <w:tcPr>
            <w:tcW w:w="3960" w:type="dxa"/>
            <w:shd w:val="clear" w:color="auto" w:fill="auto"/>
            <w:vAlign w:val="center"/>
          </w:tcPr>
          <w:p>
            <w:pPr>
              <w:pStyle w:val="19"/>
              <w:ind w:firstLine="0" w:firstLineChars="0"/>
              <w:rPr>
                <w:rFonts w:ascii="Times New Roman" w:hAnsi="Times New Roman" w:eastAsia="宋体"/>
                <w:color w:val="auto"/>
                <w:szCs w:val="21"/>
              </w:rPr>
            </w:pPr>
            <w:r>
              <w:rPr>
                <w:rFonts w:ascii="Times New Roman" w:hAnsi="Times New Roman" w:eastAsia="宋体"/>
                <w:color w:val="auto"/>
                <w:szCs w:val="21"/>
              </w:rPr>
              <w:t>无意见</w:t>
            </w:r>
          </w:p>
        </w:tc>
        <w:tc>
          <w:tcPr>
            <w:tcW w:w="3975" w:type="dxa"/>
            <w:shd w:val="clear" w:color="auto" w:fill="auto"/>
            <w:vAlign w:val="center"/>
          </w:tcPr>
          <w:p>
            <w:pPr>
              <w:pStyle w:val="19"/>
              <w:ind w:firstLine="0" w:firstLineChars="0"/>
              <w:jc w:val="center"/>
              <w:rPr>
                <w:rFonts w:ascii="Times New Roman" w:hAnsi="Times New Roman" w:eastAsia="宋体"/>
                <w:color w:val="auto"/>
                <w:szCs w:val="21"/>
              </w:rPr>
            </w:pPr>
            <w:r>
              <w:rPr>
                <w:rFonts w:ascii="Times New Roman" w:hAnsi="Times New Roman" w:eastAsia="宋体"/>
                <w:color w:val="auto"/>
                <w:szCs w:val="21"/>
              </w:rPr>
              <w:t>农业部食品质量监督检验测试中心（石河子）罗小玲</w:t>
            </w:r>
          </w:p>
        </w:tc>
        <w:tc>
          <w:tcPr>
            <w:tcW w:w="1470" w:type="dxa"/>
            <w:shd w:val="clear" w:color="auto" w:fill="auto"/>
            <w:vAlign w:val="center"/>
          </w:tcPr>
          <w:p>
            <w:pPr>
              <w:pStyle w:val="19"/>
              <w:ind w:firstLine="0" w:firstLineChars="0"/>
              <w:jc w:val="center"/>
              <w:rPr>
                <w:rFonts w:ascii="Times New Roman" w:hAnsi="Times New Roman" w:eastAsia="宋体"/>
                <w:color w:val="auto"/>
                <w:szCs w:val="21"/>
              </w:rPr>
            </w:pPr>
          </w:p>
        </w:tc>
        <w:tc>
          <w:tcPr>
            <w:tcW w:w="2254" w:type="dxa"/>
            <w:shd w:val="clear" w:color="auto" w:fill="auto"/>
            <w:vAlign w:val="center"/>
          </w:tcPr>
          <w:p>
            <w:pPr>
              <w:pStyle w:val="19"/>
              <w:ind w:firstLine="0" w:firstLineChars="0"/>
              <w:jc w:val="center"/>
              <w:rPr>
                <w:rFonts w:ascii="Times New Roman" w:hAnsi="Times New Roman" w:eastAsia="宋体"/>
                <w:color w:val="auto"/>
                <w:szCs w:val="21"/>
              </w:rPr>
            </w:pPr>
          </w:p>
        </w:tc>
      </w:tr>
    </w:tbl>
    <w:p>
      <w:pPr>
        <w:spacing w:line="400" w:lineRule="exact"/>
        <w:rPr>
          <w:rFonts w:ascii="Times New Roman" w:hAnsi="Times New Roman" w:eastAsia="仿宋_GB2312"/>
          <w:b/>
          <w:bCs/>
          <w:color w:val="auto"/>
          <w:sz w:val="28"/>
          <w:szCs w:val="28"/>
        </w:rPr>
      </w:pPr>
      <w:r>
        <w:rPr>
          <w:rFonts w:hint="eastAsia" w:ascii="Times New Roman" w:hAnsi="Times New Roman" w:eastAsia="仿宋_GB2312"/>
          <w:b/>
          <w:bCs/>
          <w:color w:val="auto"/>
          <w:sz w:val="28"/>
          <w:szCs w:val="28"/>
        </w:rPr>
        <w:t>说明：</w:t>
      </w:r>
    </w:p>
    <w:p>
      <w:pPr>
        <w:spacing w:line="400" w:lineRule="exact"/>
        <w:rPr>
          <w:rFonts w:ascii="Times New Roman" w:hAnsi="Times New Roman" w:eastAsia="仿宋_GB2312"/>
          <w:color w:val="auto"/>
          <w:sz w:val="28"/>
          <w:szCs w:val="28"/>
        </w:rPr>
      </w:pPr>
      <w:r>
        <w:rPr>
          <w:rFonts w:hint="eastAsia" w:ascii="Times New Roman" w:hAnsi="Times New Roman" w:eastAsia="仿宋_GB2312"/>
          <w:color w:val="auto"/>
          <w:sz w:val="28"/>
          <w:szCs w:val="28"/>
        </w:rPr>
        <w:t>①发送“征求意见稿”的单位数：30</w:t>
      </w:r>
      <w:r>
        <w:rPr>
          <w:rFonts w:ascii="Times New Roman" w:hAnsi="Times New Roman" w:eastAsia="仿宋_GB2312"/>
          <w:color w:val="auto"/>
          <w:sz w:val="28"/>
          <w:szCs w:val="28"/>
        </w:rPr>
        <w:t xml:space="preserve"> 个；</w:t>
      </w:r>
    </w:p>
    <w:p>
      <w:pPr>
        <w:spacing w:line="400" w:lineRule="exact"/>
        <w:rPr>
          <w:rFonts w:ascii="Times New Roman" w:hAnsi="Times New Roman" w:eastAsia="仿宋_GB2312"/>
          <w:color w:val="auto"/>
          <w:sz w:val="28"/>
          <w:szCs w:val="28"/>
        </w:rPr>
      </w:pPr>
      <w:r>
        <w:rPr>
          <w:rFonts w:hint="eastAsia" w:ascii="Times New Roman" w:hAnsi="Times New Roman" w:eastAsia="仿宋_GB2312"/>
          <w:color w:val="auto"/>
          <w:sz w:val="28"/>
          <w:szCs w:val="28"/>
        </w:rPr>
        <w:t>②收到“征求意见稿”后，回函的单位数：20</w:t>
      </w:r>
      <w:r>
        <w:rPr>
          <w:rFonts w:ascii="Times New Roman" w:hAnsi="Times New Roman" w:eastAsia="仿宋_GB2312"/>
          <w:color w:val="auto"/>
          <w:sz w:val="28"/>
          <w:szCs w:val="28"/>
        </w:rPr>
        <w:t>个；</w:t>
      </w:r>
    </w:p>
    <w:p>
      <w:pPr>
        <w:spacing w:line="400" w:lineRule="exact"/>
        <w:rPr>
          <w:rFonts w:ascii="Times New Roman" w:hAnsi="Times New Roman" w:eastAsia="仿宋_GB2312"/>
          <w:color w:val="auto"/>
          <w:sz w:val="28"/>
          <w:szCs w:val="28"/>
        </w:rPr>
      </w:pPr>
      <w:r>
        <w:rPr>
          <w:rFonts w:hint="eastAsia" w:ascii="宋体" w:hAnsi="宋体" w:eastAsia="宋体" w:cs="宋体"/>
          <w:color w:val="auto"/>
          <w:sz w:val="28"/>
          <w:szCs w:val="28"/>
        </w:rPr>
        <w:t>③</w:t>
      </w:r>
      <w:r>
        <w:rPr>
          <w:rFonts w:ascii="Times New Roman" w:hAnsi="Times New Roman" w:eastAsia="仿宋_GB2312"/>
          <w:color w:val="auto"/>
          <w:sz w:val="28"/>
          <w:szCs w:val="28"/>
        </w:rPr>
        <w:t>收到“征求意见稿”后，回函并有建议或意见的单位数：</w:t>
      </w:r>
      <w:r>
        <w:rPr>
          <w:rFonts w:hint="eastAsia" w:ascii="Times New Roman" w:hAnsi="Times New Roman" w:eastAsia="仿宋_GB2312"/>
          <w:color w:val="auto"/>
          <w:sz w:val="28"/>
          <w:szCs w:val="28"/>
        </w:rPr>
        <w:t>18</w:t>
      </w:r>
      <w:r>
        <w:rPr>
          <w:rFonts w:ascii="Times New Roman" w:hAnsi="Times New Roman" w:eastAsia="仿宋_GB2312"/>
          <w:color w:val="auto"/>
          <w:sz w:val="28"/>
          <w:szCs w:val="28"/>
        </w:rPr>
        <w:t>个；</w:t>
      </w:r>
    </w:p>
    <w:p>
      <w:pPr>
        <w:spacing w:line="400" w:lineRule="exact"/>
        <w:rPr>
          <w:rFonts w:ascii="Times New Roman" w:hAnsi="Times New Roman" w:eastAsia="仿宋_GB2312"/>
          <w:color w:val="auto"/>
          <w:sz w:val="28"/>
          <w:szCs w:val="28"/>
        </w:rPr>
      </w:pPr>
      <w:r>
        <w:rPr>
          <w:rFonts w:hint="eastAsia" w:ascii="宋体" w:hAnsi="宋体" w:eastAsia="宋体" w:cs="宋体"/>
          <w:color w:val="auto"/>
          <w:sz w:val="28"/>
          <w:szCs w:val="28"/>
        </w:rPr>
        <w:t>④</w:t>
      </w:r>
      <w:r>
        <w:rPr>
          <w:rFonts w:ascii="Times New Roman" w:hAnsi="Times New Roman" w:eastAsia="仿宋_GB2312"/>
          <w:color w:val="auto"/>
          <w:sz w:val="28"/>
          <w:szCs w:val="28"/>
        </w:rPr>
        <w:t>没有回函的单位数</w:t>
      </w:r>
      <w:r>
        <w:rPr>
          <w:rFonts w:hint="eastAsia" w:ascii="Times New Roman" w:hAnsi="Times New Roman" w:eastAsia="仿宋_GB2312"/>
          <w:color w:val="auto"/>
          <w:sz w:val="28"/>
          <w:szCs w:val="28"/>
        </w:rPr>
        <w:t>10</w:t>
      </w:r>
      <w:r>
        <w:rPr>
          <w:rFonts w:ascii="Times New Roman" w:hAnsi="Times New Roman" w:eastAsia="仿宋_GB2312"/>
          <w:color w:val="auto"/>
          <w:sz w:val="28"/>
          <w:szCs w:val="28"/>
        </w:rPr>
        <w:t>个；</w:t>
      </w:r>
    </w:p>
    <w:p>
      <w:pPr>
        <w:spacing w:line="400" w:lineRule="exact"/>
        <w:rPr>
          <w:rFonts w:ascii="Times New Roman" w:hAnsi="Times New Roman" w:eastAsia="仿宋_GB2312"/>
          <w:color w:val="auto"/>
          <w:sz w:val="28"/>
          <w:szCs w:val="28"/>
        </w:rPr>
      </w:pPr>
      <w:r>
        <w:rPr>
          <w:rFonts w:hint="eastAsia" w:ascii="宋体" w:hAnsi="宋体" w:eastAsia="宋体" w:cs="宋体"/>
          <w:color w:val="auto"/>
          <w:sz w:val="28"/>
          <w:szCs w:val="28"/>
        </w:rPr>
        <w:t>⑤</w:t>
      </w:r>
      <w:r>
        <w:rPr>
          <w:rFonts w:ascii="Times New Roman" w:hAnsi="Times New Roman" w:eastAsia="仿宋_GB2312"/>
          <w:color w:val="auto"/>
          <w:sz w:val="28"/>
          <w:szCs w:val="28"/>
        </w:rPr>
        <w:t>收到的建议或意见</w:t>
      </w:r>
      <w:r>
        <w:rPr>
          <w:rFonts w:hint="eastAsia" w:ascii="Times New Roman" w:hAnsi="Times New Roman" w:eastAsia="仿宋_GB2312"/>
          <w:color w:val="auto"/>
          <w:sz w:val="28"/>
          <w:szCs w:val="28"/>
        </w:rPr>
        <w:t>68</w:t>
      </w:r>
      <w:r>
        <w:rPr>
          <w:rFonts w:ascii="Times New Roman" w:hAnsi="Times New Roman" w:eastAsia="仿宋_GB2312"/>
          <w:color w:val="auto"/>
          <w:sz w:val="28"/>
          <w:szCs w:val="28"/>
        </w:rPr>
        <w:t>条，其中采纳</w:t>
      </w:r>
      <w:r>
        <w:rPr>
          <w:rFonts w:hint="eastAsia" w:ascii="Times New Roman" w:hAnsi="Times New Roman" w:eastAsia="仿宋_GB2312"/>
          <w:color w:val="auto"/>
          <w:sz w:val="28"/>
          <w:szCs w:val="28"/>
        </w:rPr>
        <w:t>58</w:t>
      </w:r>
      <w:r>
        <w:rPr>
          <w:rFonts w:ascii="Times New Roman" w:hAnsi="Times New Roman" w:eastAsia="仿宋_GB2312"/>
          <w:color w:val="auto"/>
          <w:sz w:val="28"/>
          <w:szCs w:val="28"/>
        </w:rPr>
        <w:t>条，不采纳</w:t>
      </w:r>
      <w:r>
        <w:rPr>
          <w:rFonts w:hint="eastAsia" w:ascii="Times New Roman" w:hAnsi="Times New Roman" w:eastAsia="仿宋_GB2312"/>
          <w:color w:val="auto"/>
          <w:sz w:val="28"/>
          <w:szCs w:val="28"/>
        </w:rPr>
        <w:t>3</w:t>
      </w:r>
      <w:r>
        <w:rPr>
          <w:rFonts w:ascii="Times New Roman" w:hAnsi="Times New Roman" w:eastAsia="仿宋_GB2312"/>
          <w:color w:val="auto"/>
          <w:sz w:val="28"/>
          <w:szCs w:val="28"/>
        </w:rPr>
        <w:t>条，部分采纳</w:t>
      </w:r>
      <w:r>
        <w:rPr>
          <w:rFonts w:hint="eastAsia" w:ascii="Times New Roman" w:hAnsi="Times New Roman" w:eastAsia="仿宋_GB2312"/>
          <w:color w:val="auto"/>
          <w:sz w:val="28"/>
          <w:szCs w:val="28"/>
        </w:rPr>
        <w:t>7</w:t>
      </w:r>
      <w:r>
        <w:rPr>
          <w:rFonts w:ascii="Times New Roman" w:hAnsi="Times New Roman" w:eastAsia="仿宋_GB2312"/>
          <w:color w:val="auto"/>
          <w:sz w:val="28"/>
          <w:szCs w:val="28"/>
        </w:rPr>
        <w:t>条。</w:t>
      </w:r>
    </w:p>
    <w:p>
      <w:pPr>
        <w:rPr>
          <w:rFonts w:ascii="Times New Roman" w:hAnsi="Times New Roman" w:eastAsia="仿宋_GB2312"/>
          <w:color w:val="auto"/>
          <w:sz w:val="28"/>
          <w:szCs w:val="28"/>
        </w:rPr>
      </w:pPr>
      <w:r>
        <w:rPr>
          <w:rFonts w:ascii="Times New Roman" w:hAnsi="Times New Roman" w:eastAsia="仿宋_GB2312"/>
          <w:color w:val="auto"/>
          <w:sz w:val="28"/>
          <w:szCs w:val="28"/>
        </w:rPr>
        <w:br w:type="page"/>
      </w:r>
    </w:p>
    <w:p>
      <w:pPr>
        <w:rPr>
          <w:rFonts w:ascii="Times New Roman" w:hAnsi="Times New Roman" w:eastAsia="仿宋_GB2312"/>
          <w:color w:val="auto"/>
          <w:sz w:val="28"/>
          <w:szCs w:val="28"/>
        </w:rPr>
        <w:sectPr>
          <w:pgSz w:w="16838" w:h="11906" w:orient="landscape"/>
          <w:pgMar w:top="1797" w:right="1440" w:bottom="1797" w:left="1440" w:header="851" w:footer="992" w:gutter="0"/>
          <w:cols w:space="425" w:num="1"/>
          <w:docGrid w:type="linesAndChars" w:linePitch="312" w:charSpace="0"/>
        </w:sectPr>
      </w:pPr>
    </w:p>
    <w:p>
      <w:pPr>
        <w:pStyle w:val="2"/>
        <w:jc w:val="left"/>
        <w:rPr>
          <w:rFonts w:hint="eastAsia" w:ascii="微软雅黑" w:hAnsi="微软雅黑" w:eastAsia="微软雅黑" w:cs="微软雅黑"/>
          <w:b w:val="0"/>
          <w:bCs w:val="0"/>
          <w:lang w:val="en-US" w:eastAsia="zh-CN"/>
        </w:rPr>
      </w:pPr>
      <w:r>
        <w:rPr>
          <w:rFonts w:hint="eastAsia" w:ascii="微软雅黑" w:hAnsi="微软雅黑" w:eastAsia="微软雅黑" w:cs="微软雅黑"/>
          <w:b w:val="0"/>
          <w:bCs w:val="0"/>
        </w:rPr>
        <w:t>附</w:t>
      </w:r>
      <w:r>
        <w:rPr>
          <w:rFonts w:hint="eastAsia" w:ascii="微软雅黑" w:hAnsi="微软雅黑" w:eastAsia="微软雅黑" w:cs="微软雅黑"/>
          <w:b w:val="0"/>
          <w:bCs w:val="0"/>
          <w:lang w:val="en-US" w:eastAsia="zh-CN"/>
        </w:rPr>
        <w:t xml:space="preserve">件4 </w:t>
      </w:r>
    </w:p>
    <w:p>
      <w:pPr>
        <w:pStyle w:val="2"/>
        <w:jc w:val="center"/>
        <w:rPr>
          <w:rFonts w:hint="default" w:ascii="微软雅黑" w:hAnsi="微软雅黑" w:eastAsia="微软雅黑" w:cs="微软雅黑"/>
          <w:b w:val="0"/>
          <w:bCs w:val="0"/>
          <w:lang w:val="en-US" w:eastAsia="zh-CN"/>
        </w:rPr>
      </w:pPr>
      <w:r>
        <w:rPr>
          <w:rFonts w:hint="eastAsia" w:ascii="微软雅黑" w:hAnsi="微软雅黑" w:eastAsia="微软雅黑" w:cs="微软雅黑"/>
          <w:b w:val="0"/>
          <w:bCs w:val="0"/>
          <w:lang w:val="en-US" w:eastAsia="zh-CN"/>
        </w:rPr>
        <w:t>验证报告</w:t>
      </w:r>
    </w:p>
    <w:p>
      <w:pPr>
        <w:rPr>
          <w:rFonts w:ascii="Times New Roman" w:hAnsi="Times New Roman" w:eastAsia="仿宋_GB2312"/>
          <w:color w:val="auto"/>
          <w:sz w:val="28"/>
          <w:szCs w:val="28"/>
        </w:rPr>
      </w:pPr>
    </w:p>
    <w:p>
      <w:pPr>
        <w:rPr>
          <w:rFonts w:ascii="Times New Roman" w:hAnsi="Times New Roman" w:eastAsia="仿宋_GB2312"/>
          <w:color w:val="auto"/>
          <w:sz w:val="28"/>
          <w:szCs w:val="28"/>
        </w:rPr>
      </w:pPr>
      <w:r>
        <w:rPr>
          <w:rFonts w:hint="eastAsia" w:eastAsiaTheme="minorEastAsia"/>
          <w:lang w:eastAsia="zh-CN"/>
        </w:rPr>
        <w:drawing>
          <wp:inline distT="0" distB="0" distL="114300" distR="114300">
            <wp:extent cx="5017770" cy="7087870"/>
            <wp:effectExtent l="0" t="0" r="11430" b="17780"/>
            <wp:docPr id="1" name="图片 1" descr="附件4 验证报告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附件4 验证报告_00"/>
                    <pic:cNvPicPr>
                      <a:picLocks noChangeAspect="1"/>
                    </pic:cNvPicPr>
                  </pic:nvPicPr>
                  <pic:blipFill>
                    <a:blip r:embed="rId18"/>
                    <a:stretch>
                      <a:fillRect/>
                    </a:stretch>
                  </pic:blipFill>
                  <pic:spPr>
                    <a:xfrm>
                      <a:off x="0" y="0"/>
                      <a:ext cx="5017770" cy="7087870"/>
                    </a:xfrm>
                    <a:prstGeom prst="rect">
                      <a:avLst/>
                    </a:prstGeom>
                  </pic:spPr>
                </pic:pic>
              </a:graphicData>
            </a:graphic>
          </wp:inline>
        </w:drawing>
      </w:r>
    </w:p>
    <w:p>
      <w:pPr>
        <w:rPr>
          <w:rFonts w:hint="default" w:eastAsiaTheme="minorEastAsia"/>
          <w:lang w:val="en-US" w:eastAsia="zh-CN"/>
        </w:rPr>
      </w:pPr>
      <w:r>
        <w:rPr>
          <w:rFonts w:hint="eastAsia" w:eastAsiaTheme="minorEastAsia"/>
          <w:lang w:eastAsia="zh-CN"/>
        </w:rPr>
        <w:drawing>
          <wp:inline distT="0" distB="0" distL="114300" distR="114300">
            <wp:extent cx="5269230" cy="7442835"/>
            <wp:effectExtent l="0" t="0" r="7620" b="5715"/>
            <wp:docPr id="3" name="图片 3" descr="附件4 验证报告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附件4 验证报告_01"/>
                    <pic:cNvPicPr>
                      <a:picLocks noChangeAspect="1"/>
                    </pic:cNvPicPr>
                  </pic:nvPicPr>
                  <pic:blipFill>
                    <a:blip r:embed="rId19"/>
                    <a:stretch>
                      <a:fillRect/>
                    </a:stretch>
                  </pic:blipFill>
                  <pic:spPr>
                    <a:xfrm>
                      <a:off x="0" y="0"/>
                      <a:ext cx="5269230" cy="7442835"/>
                    </a:xfrm>
                    <a:prstGeom prst="rect">
                      <a:avLst/>
                    </a:prstGeom>
                  </pic:spPr>
                </pic:pic>
              </a:graphicData>
            </a:graphic>
          </wp:inline>
        </w:drawing>
      </w:r>
      <w:bookmarkStart w:id="2" w:name="_GoBack"/>
      <w:bookmarkEnd w:id="2"/>
      <w:r>
        <w:rPr>
          <w:rFonts w:hint="eastAsia" w:eastAsiaTheme="minorEastAsia"/>
          <w:lang w:eastAsia="zh-CN"/>
        </w:rPr>
        <w:drawing>
          <wp:inline distT="0" distB="0" distL="114300" distR="114300">
            <wp:extent cx="5269230" cy="7442835"/>
            <wp:effectExtent l="0" t="0" r="7620" b="5715"/>
            <wp:docPr id="8" name="图片 8" descr="附件4 验证报告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附件4 验证报告_02"/>
                    <pic:cNvPicPr>
                      <a:picLocks noChangeAspect="1"/>
                    </pic:cNvPicPr>
                  </pic:nvPicPr>
                  <pic:blipFill>
                    <a:blip r:embed="rId20"/>
                    <a:stretch>
                      <a:fillRect/>
                    </a:stretch>
                  </pic:blipFill>
                  <pic:spPr>
                    <a:xfrm>
                      <a:off x="0" y="0"/>
                      <a:ext cx="5269230" cy="7442835"/>
                    </a:xfrm>
                    <a:prstGeom prst="rect">
                      <a:avLst/>
                    </a:prstGeom>
                  </pic:spPr>
                </pic:pic>
              </a:graphicData>
            </a:graphic>
          </wp:inline>
        </w:drawing>
      </w:r>
      <w:r>
        <w:rPr>
          <w:rFonts w:hint="eastAsia" w:eastAsiaTheme="minorEastAsia"/>
          <w:lang w:eastAsia="zh-CN"/>
        </w:rPr>
        <w:drawing>
          <wp:inline distT="0" distB="0" distL="114300" distR="114300">
            <wp:extent cx="5269230" cy="7442835"/>
            <wp:effectExtent l="0" t="0" r="7620" b="5715"/>
            <wp:docPr id="15" name="图片 15" descr="附件4 验证报告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附件4 验证报告_03"/>
                    <pic:cNvPicPr>
                      <a:picLocks noChangeAspect="1"/>
                    </pic:cNvPicPr>
                  </pic:nvPicPr>
                  <pic:blipFill>
                    <a:blip r:embed="rId21"/>
                    <a:stretch>
                      <a:fillRect/>
                    </a:stretch>
                  </pic:blipFill>
                  <pic:spPr>
                    <a:xfrm>
                      <a:off x="0" y="0"/>
                      <a:ext cx="5269230" cy="7442835"/>
                    </a:xfrm>
                    <a:prstGeom prst="rect">
                      <a:avLst/>
                    </a:prstGeom>
                  </pic:spPr>
                </pic:pic>
              </a:graphicData>
            </a:graphic>
          </wp:inline>
        </w:drawing>
      </w:r>
      <w:r>
        <w:rPr>
          <w:rFonts w:hint="eastAsia" w:eastAsiaTheme="minorEastAsia"/>
          <w:lang w:eastAsia="zh-CN"/>
        </w:rPr>
        <w:drawing>
          <wp:inline distT="0" distB="0" distL="114300" distR="114300">
            <wp:extent cx="5267960" cy="7453630"/>
            <wp:effectExtent l="0" t="0" r="8890" b="13970"/>
            <wp:docPr id="16" name="图片 16" descr="附件4 验证报告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附件4 验证报告_04"/>
                    <pic:cNvPicPr>
                      <a:picLocks noChangeAspect="1"/>
                    </pic:cNvPicPr>
                  </pic:nvPicPr>
                  <pic:blipFill>
                    <a:blip r:embed="rId22"/>
                    <a:stretch>
                      <a:fillRect/>
                    </a:stretch>
                  </pic:blipFill>
                  <pic:spPr>
                    <a:xfrm>
                      <a:off x="0" y="0"/>
                      <a:ext cx="5267960" cy="7453630"/>
                    </a:xfrm>
                    <a:prstGeom prst="rect">
                      <a:avLst/>
                    </a:prstGeom>
                  </pic:spPr>
                </pic:pic>
              </a:graphicData>
            </a:graphic>
          </wp:inline>
        </w:drawing>
      </w:r>
      <w:r>
        <w:rPr>
          <w:rFonts w:hint="eastAsia" w:eastAsiaTheme="minorEastAsia"/>
          <w:lang w:eastAsia="zh-CN"/>
        </w:rPr>
        <w:drawing>
          <wp:inline distT="0" distB="0" distL="114300" distR="114300">
            <wp:extent cx="5267960" cy="7453630"/>
            <wp:effectExtent l="0" t="0" r="8890" b="13970"/>
            <wp:docPr id="17" name="图片 17" descr="附件4 验证报告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附件4 验证报告_05"/>
                    <pic:cNvPicPr>
                      <a:picLocks noChangeAspect="1"/>
                    </pic:cNvPicPr>
                  </pic:nvPicPr>
                  <pic:blipFill>
                    <a:blip r:embed="rId23"/>
                    <a:stretch>
                      <a:fillRect/>
                    </a:stretch>
                  </pic:blipFill>
                  <pic:spPr>
                    <a:xfrm>
                      <a:off x="0" y="0"/>
                      <a:ext cx="5267960" cy="7453630"/>
                    </a:xfrm>
                    <a:prstGeom prst="rect">
                      <a:avLst/>
                    </a:prstGeom>
                  </pic:spPr>
                </pic:pic>
              </a:graphicData>
            </a:graphic>
          </wp:inline>
        </w:drawing>
      </w:r>
      <w:r>
        <w:rPr>
          <w:rFonts w:hint="eastAsia" w:eastAsiaTheme="minorEastAsia"/>
          <w:lang w:eastAsia="zh-CN"/>
        </w:rPr>
        <w:drawing>
          <wp:inline distT="0" distB="0" distL="114300" distR="114300">
            <wp:extent cx="5267960" cy="7453630"/>
            <wp:effectExtent l="0" t="0" r="8890" b="13970"/>
            <wp:docPr id="18" name="图片 18" descr="附件4 验证报告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附件4 验证报告_06"/>
                    <pic:cNvPicPr>
                      <a:picLocks noChangeAspect="1"/>
                    </pic:cNvPicPr>
                  </pic:nvPicPr>
                  <pic:blipFill>
                    <a:blip r:embed="rId24"/>
                    <a:stretch>
                      <a:fillRect/>
                    </a:stretch>
                  </pic:blipFill>
                  <pic:spPr>
                    <a:xfrm>
                      <a:off x="0" y="0"/>
                      <a:ext cx="5267960" cy="7453630"/>
                    </a:xfrm>
                    <a:prstGeom prst="rect">
                      <a:avLst/>
                    </a:prstGeom>
                  </pic:spPr>
                </pic:pic>
              </a:graphicData>
            </a:graphic>
          </wp:inline>
        </w:drawing>
      </w:r>
      <w:r>
        <w:rPr>
          <w:rFonts w:hint="eastAsia" w:eastAsiaTheme="minorEastAsia"/>
          <w:lang w:eastAsia="zh-CN"/>
        </w:rPr>
        <w:drawing>
          <wp:inline distT="0" distB="0" distL="114300" distR="114300">
            <wp:extent cx="5267960" cy="7453630"/>
            <wp:effectExtent l="0" t="0" r="8890" b="13970"/>
            <wp:docPr id="19" name="图片 19" descr="附件4 验证报告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附件4 验证报告_07"/>
                    <pic:cNvPicPr>
                      <a:picLocks noChangeAspect="1"/>
                    </pic:cNvPicPr>
                  </pic:nvPicPr>
                  <pic:blipFill>
                    <a:blip r:embed="rId25"/>
                    <a:stretch>
                      <a:fillRect/>
                    </a:stretch>
                  </pic:blipFill>
                  <pic:spPr>
                    <a:xfrm>
                      <a:off x="0" y="0"/>
                      <a:ext cx="5267960" cy="7453630"/>
                    </a:xfrm>
                    <a:prstGeom prst="rect">
                      <a:avLst/>
                    </a:prstGeom>
                  </pic:spPr>
                </pic:pic>
              </a:graphicData>
            </a:graphic>
          </wp:inline>
        </w:drawing>
      </w:r>
      <w:r>
        <w:rPr>
          <w:rFonts w:hint="eastAsia" w:eastAsiaTheme="minorEastAsia"/>
          <w:lang w:eastAsia="zh-CN"/>
        </w:rPr>
        <w:drawing>
          <wp:inline distT="0" distB="0" distL="114300" distR="114300">
            <wp:extent cx="5270500" cy="7506335"/>
            <wp:effectExtent l="0" t="0" r="6350" b="18415"/>
            <wp:docPr id="20" name="图片 20" descr="附件4 验证报告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附件4 验证报告_08"/>
                    <pic:cNvPicPr>
                      <a:picLocks noChangeAspect="1"/>
                    </pic:cNvPicPr>
                  </pic:nvPicPr>
                  <pic:blipFill>
                    <a:blip r:embed="rId26"/>
                    <a:stretch>
                      <a:fillRect/>
                    </a:stretch>
                  </pic:blipFill>
                  <pic:spPr>
                    <a:xfrm>
                      <a:off x="0" y="0"/>
                      <a:ext cx="5270500" cy="7506335"/>
                    </a:xfrm>
                    <a:prstGeom prst="rect">
                      <a:avLst/>
                    </a:prstGeom>
                  </pic:spPr>
                </pic:pic>
              </a:graphicData>
            </a:graphic>
          </wp:inline>
        </w:drawing>
      </w:r>
      <w:r>
        <w:rPr>
          <w:rFonts w:hint="eastAsia" w:eastAsiaTheme="minorEastAsia"/>
          <w:lang w:eastAsia="zh-CN"/>
        </w:rPr>
        <w:drawing>
          <wp:inline distT="0" distB="0" distL="114300" distR="114300">
            <wp:extent cx="5270500" cy="7506335"/>
            <wp:effectExtent l="0" t="0" r="6350" b="18415"/>
            <wp:docPr id="21" name="图片 21" descr="附件4 验证报告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附件4 验证报告_09"/>
                    <pic:cNvPicPr>
                      <a:picLocks noChangeAspect="1"/>
                    </pic:cNvPicPr>
                  </pic:nvPicPr>
                  <pic:blipFill>
                    <a:blip r:embed="rId27"/>
                    <a:stretch>
                      <a:fillRect/>
                    </a:stretch>
                  </pic:blipFill>
                  <pic:spPr>
                    <a:xfrm>
                      <a:off x="0" y="0"/>
                      <a:ext cx="5270500" cy="7506335"/>
                    </a:xfrm>
                    <a:prstGeom prst="rect">
                      <a:avLst/>
                    </a:prstGeom>
                  </pic:spPr>
                </pic:pic>
              </a:graphicData>
            </a:graphic>
          </wp:inline>
        </w:drawing>
      </w:r>
      <w:r>
        <w:rPr>
          <w:rFonts w:hint="eastAsia" w:eastAsiaTheme="minorEastAsia"/>
          <w:lang w:eastAsia="zh-CN"/>
        </w:rPr>
        <w:drawing>
          <wp:inline distT="0" distB="0" distL="114300" distR="114300">
            <wp:extent cx="5270500" cy="7506335"/>
            <wp:effectExtent l="0" t="0" r="6350" b="18415"/>
            <wp:docPr id="22" name="图片 22" descr="附件4 验证报告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附件4 验证报告_10"/>
                    <pic:cNvPicPr>
                      <a:picLocks noChangeAspect="1"/>
                    </pic:cNvPicPr>
                  </pic:nvPicPr>
                  <pic:blipFill>
                    <a:blip r:embed="rId28"/>
                    <a:stretch>
                      <a:fillRect/>
                    </a:stretch>
                  </pic:blipFill>
                  <pic:spPr>
                    <a:xfrm>
                      <a:off x="0" y="0"/>
                      <a:ext cx="5270500" cy="7506335"/>
                    </a:xfrm>
                    <a:prstGeom prst="rect">
                      <a:avLst/>
                    </a:prstGeom>
                  </pic:spPr>
                </pic:pic>
              </a:graphicData>
            </a:graphic>
          </wp:inline>
        </w:drawing>
      </w:r>
      <w:r>
        <w:rPr>
          <w:rFonts w:hint="eastAsia" w:eastAsiaTheme="minorEastAsia"/>
          <w:lang w:eastAsia="zh-CN"/>
        </w:rPr>
        <w:drawing>
          <wp:inline distT="0" distB="0" distL="114300" distR="114300">
            <wp:extent cx="5270500" cy="7506335"/>
            <wp:effectExtent l="0" t="0" r="6350" b="18415"/>
            <wp:docPr id="23" name="图片 23" descr="附件4 验证报告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附件4 验证报告_11"/>
                    <pic:cNvPicPr>
                      <a:picLocks noChangeAspect="1"/>
                    </pic:cNvPicPr>
                  </pic:nvPicPr>
                  <pic:blipFill>
                    <a:blip r:embed="rId29"/>
                    <a:stretch>
                      <a:fillRect/>
                    </a:stretch>
                  </pic:blipFill>
                  <pic:spPr>
                    <a:xfrm>
                      <a:off x="0" y="0"/>
                      <a:ext cx="5270500" cy="7506335"/>
                    </a:xfrm>
                    <a:prstGeom prst="rect">
                      <a:avLst/>
                    </a:prstGeom>
                  </pic:spPr>
                </pic:pic>
              </a:graphicData>
            </a:graphic>
          </wp:inline>
        </w:drawing>
      </w:r>
    </w:p>
    <w:sectPr>
      <w:pgSz w:w="11906" w:h="16838"/>
      <w:pgMar w:top="1440" w:right="1797" w:bottom="1440" w:left="1797" w:header="851" w:footer="992" w:gutter="0"/>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alibri Light">
    <w:altName w:val="Calibri"/>
    <w:panose1 w:val="020F0302020204030204"/>
    <w:charset w:val="00"/>
    <w:family w:val="swiss"/>
    <w:pitch w:val="default"/>
    <w:sig w:usb0="00000000" w:usb1="00000000"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swiss"/>
    <w:pitch w:val="default"/>
    <w:sig w:usb0="80000287" w:usb1="280F3C52" w:usb2="00000016" w:usb3="00000000" w:csb0="0004001F" w:csb1="00000000"/>
  </w:font>
  <w:font w:name="华文中宋">
    <w:panose1 w:val="02010600040101010101"/>
    <w:charset w:val="86"/>
    <w:family w:val="auto"/>
    <w:pitch w:val="default"/>
    <w:sig w:usb0="00000287" w:usb1="080F0000" w:usb2="00000000" w:usb3="00000000" w:csb0="0004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jc w:val="center"/>
    </w:pPr>
  </w:p>
  <w:p>
    <w:pPr>
      <w:pStyle w:val="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3557891"/>
    </w:sdtPr>
    <w:sdtContent>
      <w:p>
        <w:pPr>
          <w:pStyle w:val="6"/>
          <w:jc w:val="center"/>
        </w:pPr>
        <w:r>
          <w:fldChar w:fldCharType="begin"/>
        </w:r>
        <w:r>
          <w:instrText xml:space="preserve"> PAGE   \* MERGEFORMAT </w:instrText>
        </w:r>
        <w:r>
          <w:fldChar w:fldCharType="separate"/>
        </w:r>
        <w:r>
          <w:rPr>
            <w:lang w:val="zh-CN"/>
          </w:rPr>
          <w:t>26</w:t>
        </w:r>
        <w:r>
          <w:rPr>
            <w:lang w:val="zh-CN"/>
          </w:rPr>
          <w:fldChar w:fldCharType="end"/>
        </w:r>
      </w:p>
    </w:sdtContent>
  </w:sdt>
  <w:p>
    <w:pPr>
      <w:pStyle w:val="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6A9AD6F"/>
    <w:multiLevelType w:val="singleLevel"/>
    <w:tmpl w:val="96A9AD6F"/>
    <w:lvl w:ilvl="0" w:tentative="0">
      <w:start w:val="1"/>
      <w:numFmt w:val="decimal"/>
      <w:suff w:val="space"/>
      <w:lvlText w:val="%1."/>
      <w:lvlJc w:val="left"/>
    </w:lvl>
  </w:abstractNum>
  <w:abstractNum w:abstractNumId="1">
    <w:nsid w:val="9808E304"/>
    <w:multiLevelType w:val="singleLevel"/>
    <w:tmpl w:val="9808E304"/>
    <w:lvl w:ilvl="0" w:tentative="0">
      <w:start w:val="1"/>
      <w:numFmt w:val="decimal"/>
      <w:suff w:val="space"/>
      <w:lvlText w:val="%1."/>
      <w:lvlJc w:val="left"/>
    </w:lvl>
  </w:abstractNum>
  <w:abstractNum w:abstractNumId="2">
    <w:nsid w:val="B6DC0DE8"/>
    <w:multiLevelType w:val="singleLevel"/>
    <w:tmpl w:val="B6DC0DE8"/>
    <w:lvl w:ilvl="0" w:tentative="0">
      <w:start w:val="2"/>
      <w:numFmt w:val="chineseCounting"/>
      <w:suff w:val="nothing"/>
      <w:lvlText w:val="%1、"/>
      <w:lvlJc w:val="left"/>
      <w:rPr>
        <w:rFonts w:hint="eastAsia"/>
      </w:rPr>
    </w:lvl>
  </w:abstractNum>
  <w:abstractNum w:abstractNumId="3">
    <w:nsid w:val="EB794DFA"/>
    <w:multiLevelType w:val="singleLevel"/>
    <w:tmpl w:val="EB794DFA"/>
    <w:lvl w:ilvl="0" w:tentative="0">
      <w:start w:val="5"/>
      <w:numFmt w:val="decimal"/>
      <w:suff w:val="nothing"/>
      <w:lvlText w:val="%1、"/>
      <w:lvlJc w:val="left"/>
    </w:lvl>
  </w:abstractNum>
  <w:abstractNum w:abstractNumId="4">
    <w:nsid w:val="5408748C"/>
    <w:multiLevelType w:val="singleLevel"/>
    <w:tmpl w:val="5408748C"/>
    <w:lvl w:ilvl="0" w:tentative="0">
      <w:start w:val="1"/>
      <w:numFmt w:val="decimal"/>
      <w:suff w:val="nothing"/>
      <w:lvlText w:val="（%1）"/>
      <w:lvlJc w:val="left"/>
    </w:lvl>
  </w:abstractNum>
  <w:abstractNum w:abstractNumId="5">
    <w:nsid w:val="6CEA2025"/>
    <w:multiLevelType w:val="multilevel"/>
    <w:tmpl w:val="6CEA2025"/>
    <w:lvl w:ilvl="0" w:tentative="0">
      <w:start w:val="1"/>
      <w:numFmt w:val="none"/>
      <w:pStyle w:val="21"/>
      <w:suff w:val="nothing"/>
      <w:lvlText w:val="%1"/>
      <w:lvlJc w:val="left"/>
      <w:pPr>
        <w:ind w:left="0" w:firstLine="0"/>
      </w:pPr>
      <w:rPr>
        <w:rFonts w:hint="default" w:ascii="Times New Roman" w:hAnsi="Times New Roman"/>
        <w:b/>
        <w:i w:val="0"/>
        <w:sz w:val="21"/>
      </w:rPr>
    </w:lvl>
    <w:lvl w:ilvl="1" w:tentative="0">
      <w:start w:val="1"/>
      <w:numFmt w:val="decimal"/>
      <w:suff w:val="nothing"/>
      <w:lvlText w:val="%1%2　"/>
      <w:lvlJc w:val="left"/>
      <w:pPr>
        <w:ind w:left="0" w:firstLine="0"/>
      </w:pPr>
      <w:rPr>
        <w:rFonts w:hint="eastAsia" w:ascii="黑体" w:hAnsi="Times New Roman" w:eastAsia="黑体"/>
        <w:b w:val="0"/>
        <w:i w:val="0"/>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5"/>
  </w:num>
  <w:num w:numId="2">
    <w:abstractNumId w:val="2"/>
  </w:num>
  <w:num w:numId="3">
    <w:abstractNumId w:val="3"/>
  </w:num>
  <w:num w:numId="4">
    <w:abstractNumId w:val="1"/>
  </w:num>
  <w:num w:numId="5">
    <w:abstractNumId w:val="4"/>
  </w:num>
  <w:num w:numId="6">
    <w:abstractNumId w:val="0"/>
  </w:num>
  <w:num w:numId="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jI5Y2YzYjMyOGEwNzM5ZmY3YWQ3YWQ4MDdiNjRkY2YifQ=="/>
    <w:docVar w:name="KSO_WPS_MARK_KEY" w:val="fba65176-0395-4b1e-b7bb-71d40f28e146"/>
  </w:docVars>
  <w:rsids>
    <w:rsidRoot w:val="00723463"/>
    <w:rsid w:val="00001851"/>
    <w:rsid w:val="00004F33"/>
    <w:rsid w:val="00023813"/>
    <w:rsid w:val="00041BAD"/>
    <w:rsid w:val="000434BE"/>
    <w:rsid w:val="00052446"/>
    <w:rsid w:val="00061BE3"/>
    <w:rsid w:val="00083AF9"/>
    <w:rsid w:val="00083DE4"/>
    <w:rsid w:val="00090538"/>
    <w:rsid w:val="000C1DA1"/>
    <w:rsid w:val="000C7964"/>
    <w:rsid w:val="000D2D57"/>
    <w:rsid w:val="00125861"/>
    <w:rsid w:val="001419EA"/>
    <w:rsid w:val="00144D26"/>
    <w:rsid w:val="00164740"/>
    <w:rsid w:val="00172A27"/>
    <w:rsid w:val="00192963"/>
    <w:rsid w:val="001951A1"/>
    <w:rsid w:val="001A3A3C"/>
    <w:rsid w:val="001D0816"/>
    <w:rsid w:val="001D0BE6"/>
    <w:rsid w:val="001D2AD6"/>
    <w:rsid w:val="001E2B5D"/>
    <w:rsid w:val="001E7307"/>
    <w:rsid w:val="001F1AC7"/>
    <w:rsid w:val="001F78F3"/>
    <w:rsid w:val="00201944"/>
    <w:rsid w:val="0020441C"/>
    <w:rsid w:val="002139CB"/>
    <w:rsid w:val="00244F61"/>
    <w:rsid w:val="00250B68"/>
    <w:rsid w:val="0025198B"/>
    <w:rsid w:val="002630D5"/>
    <w:rsid w:val="00264459"/>
    <w:rsid w:val="00265A64"/>
    <w:rsid w:val="00283F9E"/>
    <w:rsid w:val="0029418F"/>
    <w:rsid w:val="002A4F13"/>
    <w:rsid w:val="002C5D6B"/>
    <w:rsid w:val="002D2B59"/>
    <w:rsid w:val="002D3578"/>
    <w:rsid w:val="002D465E"/>
    <w:rsid w:val="002E402E"/>
    <w:rsid w:val="002F7BBF"/>
    <w:rsid w:val="003043AE"/>
    <w:rsid w:val="00306809"/>
    <w:rsid w:val="003130A1"/>
    <w:rsid w:val="00314295"/>
    <w:rsid w:val="00345FA8"/>
    <w:rsid w:val="00360042"/>
    <w:rsid w:val="00377874"/>
    <w:rsid w:val="003C29BA"/>
    <w:rsid w:val="003E6DC0"/>
    <w:rsid w:val="0041178B"/>
    <w:rsid w:val="00426A7A"/>
    <w:rsid w:val="004508F7"/>
    <w:rsid w:val="00496E11"/>
    <w:rsid w:val="004D1007"/>
    <w:rsid w:val="004D3827"/>
    <w:rsid w:val="0051229B"/>
    <w:rsid w:val="00517BB2"/>
    <w:rsid w:val="00522763"/>
    <w:rsid w:val="00535199"/>
    <w:rsid w:val="005363B9"/>
    <w:rsid w:val="0055338F"/>
    <w:rsid w:val="00573CF5"/>
    <w:rsid w:val="00586922"/>
    <w:rsid w:val="005943C0"/>
    <w:rsid w:val="005A3C51"/>
    <w:rsid w:val="005B66CC"/>
    <w:rsid w:val="005B6912"/>
    <w:rsid w:val="005C0165"/>
    <w:rsid w:val="005D05AC"/>
    <w:rsid w:val="005F1F7A"/>
    <w:rsid w:val="0060760B"/>
    <w:rsid w:val="0061455B"/>
    <w:rsid w:val="006231E1"/>
    <w:rsid w:val="00623398"/>
    <w:rsid w:val="00623E61"/>
    <w:rsid w:val="00627039"/>
    <w:rsid w:val="00635874"/>
    <w:rsid w:val="006473FC"/>
    <w:rsid w:val="0065260C"/>
    <w:rsid w:val="00687409"/>
    <w:rsid w:val="006B43AC"/>
    <w:rsid w:val="006D3004"/>
    <w:rsid w:val="006D6F89"/>
    <w:rsid w:val="007060D1"/>
    <w:rsid w:val="00715485"/>
    <w:rsid w:val="00723463"/>
    <w:rsid w:val="007277BF"/>
    <w:rsid w:val="00727E51"/>
    <w:rsid w:val="0073035C"/>
    <w:rsid w:val="00735A08"/>
    <w:rsid w:val="00750045"/>
    <w:rsid w:val="007721F5"/>
    <w:rsid w:val="00785B5A"/>
    <w:rsid w:val="007A591B"/>
    <w:rsid w:val="007F178F"/>
    <w:rsid w:val="00806D1C"/>
    <w:rsid w:val="00826B4A"/>
    <w:rsid w:val="00836C87"/>
    <w:rsid w:val="008621E4"/>
    <w:rsid w:val="0086756D"/>
    <w:rsid w:val="008A6146"/>
    <w:rsid w:val="008E475A"/>
    <w:rsid w:val="008E542A"/>
    <w:rsid w:val="008F24D9"/>
    <w:rsid w:val="00905FE9"/>
    <w:rsid w:val="009267B1"/>
    <w:rsid w:val="00943174"/>
    <w:rsid w:val="00945190"/>
    <w:rsid w:val="009465A7"/>
    <w:rsid w:val="00956763"/>
    <w:rsid w:val="00986B2C"/>
    <w:rsid w:val="00987AF1"/>
    <w:rsid w:val="00991045"/>
    <w:rsid w:val="009E4DDE"/>
    <w:rsid w:val="009F6F75"/>
    <w:rsid w:val="00A143E4"/>
    <w:rsid w:val="00A46BAA"/>
    <w:rsid w:val="00A5639D"/>
    <w:rsid w:val="00A80A90"/>
    <w:rsid w:val="00AA75B0"/>
    <w:rsid w:val="00AB27A1"/>
    <w:rsid w:val="00AB4B8C"/>
    <w:rsid w:val="00AD5DC3"/>
    <w:rsid w:val="00AF69F1"/>
    <w:rsid w:val="00B036BE"/>
    <w:rsid w:val="00B108D3"/>
    <w:rsid w:val="00B25ED9"/>
    <w:rsid w:val="00B3655C"/>
    <w:rsid w:val="00B4381F"/>
    <w:rsid w:val="00B44F83"/>
    <w:rsid w:val="00B50C06"/>
    <w:rsid w:val="00B55F81"/>
    <w:rsid w:val="00B568AF"/>
    <w:rsid w:val="00B74F2D"/>
    <w:rsid w:val="00B763AF"/>
    <w:rsid w:val="00B823D8"/>
    <w:rsid w:val="00B842D2"/>
    <w:rsid w:val="00B97F0B"/>
    <w:rsid w:val="00BC2E95"/>
    <w:rsid w:val="00BC55F3"/>
    <w:rsid w:val="00BE4636"/>
    <w:rsid w:val="00C03034"/>
    <w:rsid w:val="00C07C48"/>
    <w:rsid w:val="00C31B7B"/>
    <w:rsid w:val="00C81304"/>
    <w:rsid w:val="00CB3565"/>
    <w:rsid w:val="00CE06F3"/>
    <w:rsid w:val="00CE4C2D"/>
    <w:rsid w:val="00CF4B31"/>
    <w:rsid w:val="00CF5963"/>
    <w:rsid w:val="00D17D3F"/>
    <w:rsid w:val="00D2311A"/>
    <w:rsid w:val="00D41A4A"/>
    <w:rsid w:val="00D6185C"/>
    <w:rsid w:val="00D67157"/>
    <w:rsid w:val="00D730F0"/>
    <w:rsid w:val="00D76211"/>
    <w:rsid w:val="00D85779"/>
    <w:rsid w:val="00D92072"/>
    <w:rsid w:val="00DA2818"/>
    <w:rsid w:val="00DB0DD0"/>
    <w:rsid w:val="00DB43CB"/>
    <w:rsid w:val="00DC0D5C"/>
    <w:rsid w:val="00DD36DE"/>
    <w:rsid w:val="00DF7D97"/>
    <w:rsid w:val="00E10B10"/>
    <w:rsid w:val="00E12690"/>
    <w:rsid w:val="00E44FD5"/>
    <w:rsid w:val="00E77A53"/>
    <w:rsid w:val="00E82F4C"/>
    <w:rsid w:val="00E90247"/>
    <w:rsid w:val="00EA7CE3"/>
    <w:rsid w:val="00ED51FF"/>
    <w:rsid w:val="00EE2230"/>
    <w:rsid w:val="00F16D17"/>
    <w:rsid w:val="00F21F62"/>
    <w:rsid w:val="00F2743E"/>
    <w:rsid w:val="00F46102"/>
    <w:rsid w:val="00F63D7F"/>
    <w:rsid w:val="00F75EF8"/>
    <w:rsid w:val="00F806A6"/>
    <w:rsid w:val="00F9415C"/>
    <w:rsid w:val="00F95B63"/>
    <w:rsid w:val="00F97BED"/>
    <w:rsid w:val="00FA0F25"/>
    <w:rsid w:val="00FA7686"/>
    <w:rsid w:val="00FC0EC7"/>
    <w:rsid w:val="00FC503B"/>
    <w:rsid w:val="00FD0D6A"/>
    <w:rsid w:val="00FD1D52"/>
    <w:rsid w:val="00FE136C"/>
    <w:rsid w:val="00FF50B3"/>
    <w:rsid w:val="0112614B"/>
    <w:rsid w:val="013E511C"/>
    <w:rsid w:val="02FE6D24"/>
    <w:rsid w:val="033124A2"/>
    <w:rsid w:val="037868C8"/>
    <w:rsid w:val="03795BF7"/>
    <w:rsid w:val="03AC5621"/>
    <w:rsid w:val="045214B6"/>
    <w:rsid w:val="046D3AB7"/>
    <w:rsid w:val="04E46699"/>
    <w:rsid w:val="05297BFD"/>
    <w:rsid w:val="05E15616"/>
    <w:rsid w:val="065A6B29"/>
    <w:rsid w:val="06E279E0"/>
    <w:rsid w:val="06FC1B9C"/>
    <w:rsid w:val="0710289B"/>
    <w:rsid w:val="07C63A02"/>
    <w:rsid w:val="09536E96"/>
    <w:rsid w:val="097628D5"/>
    <w:rsid w:val="098A46BA"/>
    <w:rsid w:val="09E316BE"/>
    <w:rsid w:val="0A3B1E34"/>
    <w:rsid w:val="0AEB0719"/>
    <w:rsid w:val="0B06351D"/>
    <w:rsid w:val="0B696551"/>
    <w:rsid w:val="0B837613"/>
    <w:rsid w:val="0C750E10"/>
    <w:rsid w:val="0D7B06D8"/>
    <w:rsid w:val="0DB25F8E"/>
    <w:rsid w:val="0F7313DC"/>
    <w:rsid w:val="10954371"/>
    <w:rsid w:val="10DE7EE9"/>
    <w:rsid w:val="11171210"/>
    <w:rsid w:val="11DB01A5"/>
    <w:rsid w:val="11F55EC7"/>
    <w:rsid w:val="123E5365"/>
    <w:rsid w:val="147C5547"/>
    <w:rsid w:val="148B1F5F"/>
    <w:rsid w:val="14930CB3"/>
    <w:rsid w:val="149F2FE4"/>
    <w:rsid w:val="151E215B"/>
    <w:rsid w:val="154032C5"/>
    <w:rsid w:val="176D1394"/>
    <w:rsid w:val="17F95EC9"/>
    <w:rsid w:val="180715CC"/>
    <w:rsid w:val="18435514"/>
    <w:rsid w:val="184826FE"/>
    <w:rsid w:val="18BD3966"/>
    <w:rsid w:val="19C04640"/>
    <w:rsid w:val="1A295829"/>
    <w:rsid w:val="1A9A04D5"/>
    <w:rsid w:val="1AF75928"/>
    <w:rsid w:val="1B876613"/>
    <w:rsid w:val="1B8B7689"/>
    <w:rsid w:val="1B990555"/>
    <w:rsid w:val="1D1A3B4F"/>
    <w:rsid w:val="1DE657E0"/>
    <w:rsid w:val="1E454BFC"/>
    <w:rsid w:val="1E8A6AB3"/>
    <w:rsid w:val="1E960E8B"/>
    <w:rsid w:val="1EE258C4"/>
    <w:rsid w:val="1EE35A6B"/>
    <w:rsid w:val="1EE4709D"/>
    <w:rsid w:val="200715BB"/>
    <w:rsid w:val="200A63BE"/>
    <w:rsid w:val="2078460B"/>
    <w:rsid w:val="20E806D7"/>
    <w:rsid w:val="21126BEA"/>
    <w:rsid w:val="21801EE7"/>
    <w:rsid w:val="21DF0431"/>
    <w:rsid w:val="22272E1A"/>
    <w:rsid w:val="23224CE6"/>
    <w:rsid w:val="235B72E4"/>
    <w:rsid w:val="24082954"/>
    <w:rsid w:val="249C40C3"/>
    <w:rsid w:val="25AC5561"/>
    <w:rsid w:val="25B20DC9"/>
    <w:rsid w:val="25C635BB"/>
    <w:rsid w:val="25FD1742"/>
    <w:rsid w:val="26037568"/>
    <w:rsid w:val="2626123D"/>
    <w:rsid w:val="275D1A33"/>
    <w:rsid w:val="276852E0"/>
    <w:rsid w:val="2769195B"/>
    <w:rsid w:val="278E090B"/>
    <w:rsid w:val="27D425DF"/>
    <w:rsid w:val="28481AE6"/>
    <w:rsid w:val="28CD3470"/>
    <w:rsid w:val="28F10FF0"/>
    <w:rsid w:val="29771292"/>
    <w:rsid w:val="29A9753C"/>
    <w:rsid w:val="29CC61D1"/>
    <w:rsid w:val="2B1630C4"/>
    <w:rsid w:val="2BFC789C"/>
    <w:rsid w:val="2CC016C0"/>
    <w:rsid w:val="2CF24D65"/>
    <w:rsid w:val="2DA87E8A"/>
    <w:rsid w:val="2DFD7197"/>
    <w:rsid w:val="2E36103C"/>
    <w:rsid w:val="2EBE613C"/>
    <w:rsid w:val="2FB7522E"/>
    <w:rsid w:val="30233CDA"/>
    <w:rsid w:val="307776B7"/>
    <w:rsid w:val="30F46739"/>
    <w:rsid w:val="315C5CDC"/>
    <w:rsid w:val="31EA0115"/>
    <w:rsid w:val="32D90AF4"/>
    <w:rsid w:val="33604D90"/>
    <w:rsid w:val="340E1B6C"/>
    <w:rsid w:val="34833CE5"/>
    <w:rsid w:val="34F33527"/>
    <w:rsid w:val="356443D1"/>
    <w:rsid w:val="35E54BB3"/>
    <w:rsid w:val="360F253D"/>
    <w:rsid w:val="367E6AA5"/>
    <w:rsid w:val="3680527C"/>
    <w:rsid w:val="371542A2"/>
    <w:rsid w:val="371E54E8"/>
    <w:rsid w:val="3756532C"/>
    <w:rsid w:val="384A6C3F"/>
    <w:rsid w:val="388F0AF6"/>
    <w:rsid w:val="389E377A"/>
    <w:rsid w:val="39DD3AE3"/>
    <w:rsid w:val="39F17AEF"/>
    <w:rsid w:val="3A4B4EF0"/>
    <w:rsid w:val="3AB72586"/>
    <w:rsid w:val="3AEF4896"/>
    <w:rsid w:val="3AFE6399"/>
    <w:rsid w:val="3B6E2012"/>
    <w:rsid w:val="3CCD42E3"/>
    <w:rsid w:val="3D361E88"/>
    <w:rsid w:val="3DBD5687"/>
    <w:rsid w:val="3DC02ED0"/>
    <w:rsid w:val="3DC41242"/>
    <w:rsid w:val="3E366C4B"/>
    <w:rsid w:val="3E6406DE"/>
    <w:rsid w:val="3E934B80"/>
    <w:rsid w:val="3EF923FD"/>
    <w:rsid w:val="409D2B44"/>
    <w:rsid w:val="41197AF6"/>
    <w:rsid w:val="413B7A6D"/>
    <w:rsid w:val="419F6F65"/>
    <w:rsid w:val="42EA4B11"/>
    <w:rsid w:val="430203D3"/>
    <w:rsid w:val="430647D6"/>
    <w:rsid w:val="43302ED5"/>
    <w:rsid w:val="44366C11"/>
    <w:rsid w:val="44C32962"/>
    <w:rsid w:val="45407B57"/>
    <w:rsid w:val="45665ADA"/>
    <w:rsid w:val="45D134DE"/>
    <w:rsid w:val="45D872AB"/>
    <w:rsid w:val="45E601C4"/>
    <w:rsid w:val="46601D24"/>
    <w:rsid w:val="47CB141F"/>
    <w:rsid w:val="482F7FBD"/>
    <w:rsid w:val="484336AB"/>
    <w:rsid w:val="48645C2B"/>
    <w:rsid w:val="48FD7CFE"/>
    <w:rsid w:val="491F6897"/>
    <w:rsid w:val="49CF296E"/>
    <w:rsid w:val="4A471FE7"/>
    <w:rsid w:val="4ACC7988"/>
    <w:rsid w:val="4ACF7478"/>
    <w:rsid w:val="4B1738B0"/>
    <w:rsid w:val="4BB723E6"/>
    <w:rsid w:val="4C6742BB"/>
    <w:rsid w:val="4D3637DE"/>
    <w:rsid w:val="4D3D2DBF"/>
    <w:rsid w:val="4D867B60"/>
    <w:rsid w:val="4DA84778"/>
    <w:rsid w:val="4EDE5F02"/>
    <w:rsid w:val="500A4B81"/>
    <w:rsid w:val="504B57F2"/>
    <w:rsid w:val="508B44C7"/>
    <w:rsid w:val="52173B99"/>
    <w:rsid w:val="523A17A6"/>
    <w:rsid w:val="52730A4A"/>
    <w:rsid w:val="52B816C0"/>
    <w:rsid w:val="531307BD"/>
    <w:rsid w:val="536A40FE"/>
    <w:rsid w:val="53B449FF"/>
    <w:rsid w:val="53C34BB2"/>
    <w:rsid w:val="53E02AC7"/>
    <w:rsid w:val="544B5DC1"/>
    <w:rsid w:val="556C7C23"/>
    <w:rsid w:val="55D50038"/>
    <w:rsid w:val="56527802"/>
    <w:rsid w:val="56674EBC"/>
    <w:rsid w:val="56942683"/>
    <w:rsid w:val="56ED06EA"/>
    <w:rsid w:val="573B0286"/>
    <w:rsid w:val="574134AB"/>
    <w:rsid w:val="57B55DDC"/>
    <w:rsid w:val="57E97DCB"/>
    <w:rsid w:val="58951D01"/>
    <w:rsid w:val="58C6414E"/>
    <w:rsid w:val="595F27B3"/>
    <w:rsid w:val="59766BEA"/>
    <w:rsid w:val="597C2E02"/>
    <w:rsid w:val="5A410A76"/>
    <w:rsid w:val="5A8B6781"/>
    <w:rsid w:val="5A972662"/>
    <w:rsid w:val="5AE57637"/>
    <w:rsid w:val="5B6471FC"/>
    <w:rsid w:val="5BAB0ADF"/>
    <w:rsid w:val="5BC70423"/>
    <w:rsid w:val="5CA10026"/>
    <w:rsid w:val="5DA86D42"/>
    <w:rsid w:val="5DD230AF"/>
    <w:rsid w:val="5E392A74"/>
    <w:rsid w:val="5F845BA8"/>
    <w:rsid w:val="5FD505FF"/>
    <w:rsid w:val="6064658D"/>
    <w:rsid w:val="60781EAD"/>
    <w:rsid w:val="60CA5C5B"/>
    <w:rsid w:val="618B1EF3"/>
    <w:rsid w:val="61C34E16"/>
    <w:rsid w:val="61CF2D32"/>
    <w:rsid w:val="62386470"/>
    <w:rsid w:val="623C532C"/>
    <w:rsid w:val="62432EEF"/>
    <w:rsid w:val="6252656D"/>
    <w:rsid w:val="625C2FAB"/>
    <w:rsid w:val="6292735F"/>
    <w:rsid w:val="62CC631F"/>
    <w:rsid w:val="62D92D74"/>
    <w:rsid w:val="63385F0A"/>
    <w:rsid w:val="635C3B47"/>
    <w:rsid w:val="63C56EA9"/>
    <w:rsid w:val="65C85A74"/>
    <w:rsid w:val="65CD30EA"/>
    <w:rsid w:val="65E6594A"/>
    <w:rsid w:val="67F55386"/>
    <w:rsid w:val="68A02C18"/>
    <w:rsid w:val="69007F78"/>
    <w:rsid w:val="69552BEE"/>
    <w:rsid w:val="6A590DE0"/>
    <w:rsid w:val="6A664509"/>
    <w:rsid w:val="6ABA1153"/>
    <w:rsid w:val="6AD71D05"/>
    <w:rsid w:val="6B387A0B"/>
    <w:rsid w:val="6BD405FF"/>
    <w:rsid w:val="6C0241A3"/>
    <w:rsid w:val="6C4A3FD5"/>
    <w:rsid w:val="6C726189"/>
    <w:rsid w:val="6D5817FA"/>
    <w:rsid w:val="6DA62B68"/>
    <w:rsid w:val="6E1F030C"/>
    <w:rsid w:val="6EF966EE"/>
    <w:rsid w:val="6F1C4E20"/>
    <w:rsid w:val="6FE8703E"/>
    <w:rsid w:val="6FFE1E68"/>
    <w:rsid w:val="700C06A3"/>
    <w:rsid w:val="70187047"/>
    <w:rsid w:val="70B86135"/>
    <w:rsid w:val="71411AAC"/>
    <w:rsid w:val="716476B7"/>
    <w:rsid w:val="7179524D"/>
    <w:rsid w:val="71D063E4"/>
    <w:rsid w:val="72B36EF3"/>
    <w:rsid w:val="73102258"/>
    <w:rsid w:val="73436E08"/>
    <w:rsid w:val="737138B7"/>
    <w:rsid w:val="738E1AD2"/>
    <w:rsid w:val="747014CD"/>
    <w:rsid w:val="74942A15"/>
    <w:rsid w:val="74C5360F"/>
    <w:rsid w:val="75634A36"/>
    <w:rsid w:val="75F47C0F"/>
    <w:rsid w:val="767738E8"/>
    <w:rsid w:val="76A33A08"/>
    <w:rsid w:val="76B26574"/>
    <w:rsid w:val="76F42FFB"/>
    <w:rsid w:val="780C05ED"/>
    <w:rsid w:val="790463BB"/>
    <w:rsid w:val="79920D17"/>
    <w:rsid w:val="79BE2B3A"/>
    <w:rsid w:val="7B457EE1"/>
    <w:rsid w:val="7C8C2CA7"/>
    <w:rsid w:val="7CA17CCA"/>
    <w:rsid w:val="7D926FDF"/>
    <w:rsid w:val="7E8D4CC6"/>
    <w:rsid w:val="7E932419"/>
    <w:rsid w:val="7F0D6607"/>
    <w:rsid w:val="7F573B48"/>
    <w:rsid w:val="7F636CA1"/>
    <w:rsid w:val="7FAE708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2"/>
    <w:basedOn w:val="1"/>
    <w:next w:val="1"/>
    <w:link w:val="20"/>
    <w:semiHidden/>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1"/>
    <w:next w:val="1"/>
    <w:semiHidden/>
    <w:unhideWhenUsed/>
    <w:qFormat/>
    <w:uiPriority w:val="0"/>
    <w:pPr>
      <w:spacing w:beforeAutospacing="1" w:afterAutospacing="1"/>
      <w:jc w:val="left"/>
      <w:outlineLvl w:val="2"/>
    </w:pPr>
    <w:rPr>
      <w:rFonts w:hint="eastAsia" w:ascii="宋体" w:hAnsi="宋体"/>
      <w:b/>
      <w:bCs/>
      <w:kern w:val="0"/>
      <w:sz w:val="27"/>
      <w:szCs w:val="27"/>
    </w:rPr>
  </w:style>
  <w:style w:type="character" w:default="1" w:styleId="10">
    <w:name w:val="Default Paragraph Font"/>
    <w:semiHidden/>
    <w:uiPriority w:val="0"/>
  </w:style>
  <w:style w:type="table" w:default="1" w:styleId="8">
    <w:name w:val="Normal Table"/>
    <w:semiHidden/>
    <w:uiPriority w:val="0"/>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alloon Text"/>
    <w:basedOn w:val="1"/>
    <w:link w:val="18"/>
    <w:uiPriority w:val="0"/>
    <w:rPr>
      <w:sz w:val="18"/>
      <w:szCs w:val="18"/>
    </w:rPr>
  </w:style>
  <w:style w:type="paragraph" w:styleId="6">
    <w:name w:val="footer"/>
    <w:basedOn w:val="1"/>
    <w:link w:val="24"/>
    <w:qFormat/>
    <w:uiPriority w:val="0"/>
    <w:pPr>
      <w:tabs>
        <w:tab w:val="center" w:pos="4153"/>
        <w:tab w:val="right" w:pos="8306"/>
      </w:tabs>
      <w:snapToGrid w:val="0"/>
      <w:jc w:val="left"/>
    </w:pPr>
    <w:rPr>
      <w:rFonts w:asciiTheme="minorHAnsi" w:hAnsiTheme="minorHAnsi" w:eastAsiaTheme="minorEastAsia" w:cstheme="minorBidi"/>
      <w:sz w:val="18"/>
      <w:szCs w:val="18"/>
    </w:rPr>
  </w:style>
  <w:style w:type="paragraph" w:styleId="7">
    <w:name w:val="header"/>
    <w:basedOn w:val="1"/>
    <w:link w:val="25"/>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11">
    <w:name w:val="Strong"/>
    <w:basedOn w:val="10"/>
    <w:qFormat/>
    <w:uiPriority w:val="0"/>
    <w:rPr>
      <w:b/>
    </w:rPr>
  </w:style>
  <w:style w:type="character" w:styleId="12">
    <w:name w:val="Hyperlink"/>
    <w:basedOn w:val="10"/>
    <w:uiPriority w:val="0"/>
    <w:rPr>
      <w:color w:val="0000FF"/>
      <w:u w:val="single"/>
    </w:rPr>
  </w:style>
  <w:style w:type="character" w:styleId="13">
    <w:name w:val="annotation reference"/>
    <w:basedOn w:val="10"/>
    <w:qFormat/>
    <w:uiPriority w:val="0"/>
    <w:rPr>
      <w:sz w:val="21"/>
      <w:szCs w:val="21"/>
    </w:rPr>
  </w:style>
  <w:style w:type="character" w:customStyle="1" w:styleId="14">
    <w:name w:val="页眉 Char"/>
    <w:basedOn w:val="10"/>
    <w:link w:val="7"/>
    <w:qFormat/>
    <w:uiPriority w:val="99"/>
    <w:rPr>
      <w:sz w:val="18"/>
      <w:szCs w:val="18"/>
    </w:rPr>
  </w:style>
  <w:style w:type="character" w:customStyle="1" w:styleId="15">
    <w:name w:val="页脚 Char"/>
    <w:basedOn w:val="10"/>
    <w:link w:val="6"/>
    <w:qFormat/>
    <w:uiPriority w:val="99"/>
    <w:rPr>
      <w:sz w:val="18"/>
      <w:szCs w:val="18"/>
    </w:rPr>
  </w:style>
  <w:style w:type="paragraph" w:customStyle="1" w:styleId="16">
    <w:name w:val="段"/>
    <w:qFormat/>
    <w:uiPriority w:val="99"/>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7">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18">
    <w:name w:val="批注框文本 Char"/>
    <w:basedOn w:val="10"/>
    <w:link w:val="5"/>
    <w:semiHidden/>
    <w:qFormat/>
    <w:uiPriority w:val="99"/>
    <w:rPr>
      <w:rFonts w:ascii="Times New Roman" w:hAnsi="Times New Roman" w:eastAsia="宋体" w:cs="Times New Roman"/>
      <w:sz w:val="18"/>
      <w:szCs w:val="18"/>
    </w:rPr>
  </w:style>
  <w:style w:type="paragraph" w:styleId="19">
    <w:name w:val="List Paragraph"/>
    <w:basedOn w:val="1"/>
    <w:semiHidden/>
    <w:unhideWhenUsed/>
    <w:qFormat/>
    <w:uiPriority w:val="99"/>
    <w:pPr>
      <w:ind w:firstLine="420" w:firstLineChars="200"/>
    </w:pPr>
  </w:style>
  <w:style w:type="character" w:customStyle="1" w:styleId="20">
    <w:name w:val="标题 2 Char"/>
    <w:basedOn w:val="10"/>
    <w:link w:val="2"/>
    <w:qFormat/>
    <w:uiPriority w:val="9"/>
    <w:rPr>
      <w:rFonts w:asciiTheme="majorHAnsi" w:hAnsiTheme="majorHAnsi" w:eastAsiaTheme="majorEastAsia" w:cstheme="majorBidi"/>
      <w:b/>
      <w:bCs/>
      <w:kern w:val="2"/>
      <w:sz w:val="32"/>
      <w:szCs w:val="32"/>
    </w:rPr>
  </w:style>
  <w:style w:type="paragraph" w:customStyle="1" w:styleId="21">
    <w:name w:val="前言、引言标题"/>
    <w:next w:val="1"/>
    <w:qFormat/>
    <w:uiPriority w:val="0"/>
    <w:pPr>
      <w:numPr>
        <w:ilvl w:val="0"/>
        <w:numId w:val="1"/>
      </w:numPr>
      <w:shd w:val="clear" w:color="FFFFFF" w:fill="FFFFFF"/>
      <w:spacing w:before="640" w:after="560"/>
      <w:jc w:val="center"/>
      <w:outlineLvl w:val="0"/>
    </w:pPr>
    <w:rPr>
      <w:rFonts w:ascii="黑体" w:hAnsi="Times New Roman" w:eastAsia="黑体" w:cs="Times New Roman"/>
      <w:sz w:val="32"/>
      <w:lang w:val="en-US" w:eastAsia="zh-CN" w:bidi="ar-SA"/>
    </w:rPr>
  </w:style>
  <w:style w:type="paragraph" w:customStyle="1" w:styleId="22">
    <w:name w:val="封面标准英文名称"/>
    <w:qFormat/>
    <w:uiPriority w:val="99"/>
    <w:pPr>
      <w:widowControl w:val="0"/>
      <w:spacing w:before="370" w:line="400" w:lineRule="exact"/>
      <w:jc w:val="center"/>
    </w:pPr>
    <w:rPr>
      <w:rFonts w:ascii="Times New Roman" w:hAnsi="Times New Roman" w:eastAsia="宋体" w:cs="Times New Roman"/>
      <w:sz w:val="28"/>
      <w:szCs w:val="28"/>
      <w:lang w:val="en-US" w:eastAsia="zh-CN" w:bidi="ar-SA"/>
    </w:rPr>
  </w:style>
  <w:style w:type="paragraph" w:customStyle="1" w:styleId="23">
    <w:name w:val="章标题"/>
    <w:next w:val="1"/>
    <w:qFormat/>
    <w:uiPriority w:val="99"/>
    <w:pPr>
      <w:spacing w:beforeLines="100" w:afterLines="100"/>
      <w:jc w:val="both"/>
      <w:outlineLvl w:val="1"/>
    </w:pPr>
    <w:rPr>
      <w:rFonts w:ascii="黑体" w:hAnsi="Times New Roman" w:eastAsia="黑体" w:cs="Times New Roman"/>
      <w:sz w:val="21"/>
      <w:szCs w:val="22"/>
      <w:lang w:val="en-US" w:eastAsia="zh-CN" w:bidi="ar-SA"/>
    </w:rPr>
  </w:style>
  <w:style w:type="character" w:customStyle="1" w:styleId="24">
    <w:name w:val="页脚 字符"/>
    <w:link w:val="6"/>
    <w:uiPriority w:val="99"/>
    <w:rPr>
      <w:rFonts w:ascii="Calibri" w:hAnsi="Calibri" w:eastAsia="宋体" w:cs="Times New Roman"/>
      <w:sz w:val="18"/>
      <w:szCs w:val="18"/>
    </w:rPr>
  </w:style>
  <w:style w:type="character" w:customStyle="1" w:styleId="25">
    <w:name w:val="页眉 字符"/>
    <w:link w:val="7"/>
    <w:qFormat/>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205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全国畜牧总站</Company>
  <Pages>57</Pages>
  <Words>24544</Words>
  <Characters>27249</Characters>
  <Lines>0</Lines>
  <Paragraphs>0</Paragraphs>
  <TotalTime>2</TotalTime>
  <ScaleCrop>false</ScaleCrop>
  <LinksUpToDate>false</LinksUpToDate>
  <CharactersWithSpaces>27944</CharactersWithSpaces>
  <Application>WPS Office_11.1.0.12970_F1E327BC-269C-435d-A152-05C5408002CA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2023-01-15T11:44:00Z</dcterms:created>
  <dc:creator>靳婷婷</dc:creator>
  <cp:lastModifiedBy>靳婷婷</cp:lastModifiedBy>
  <cp:lastPrinted>2022-08-15T02:09:00Z</cp:lastPrinted>
  <dcterms:modified xsi:type="dcterms:W3CDTF">2023-01-15T11:57:22Z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2052-11.1.0.12970</vt:lpwstr>
  </property>
  <property fmtid="{D5CDD505-2E9C-101B-9397-08002B2CF9AE}" pid="3" name="ICV">
    <vt:lpwstr>0BCE36D634FF43058FC3E91F1E89B8ED</vt:lpwstr>
  </property>
</Properties>
</file>